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6883" w:tblpY="-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A71404" w:rsidTr="00A71404">
        <w:tc>
          <w:tcPr>
            <w:tcW w:w="4786" w:type="dxa"/>
          </w:tcPr>
          <w:p w:rsidR="00A71404" w:rsidRPr="002C025E" w:rsidRDefault="00A71404" w:rsidP="00995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404" w:rsidRPr="00C11F13" w:rsidRDefault="00A71404" w:rsidP="00995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ТВЕРЖДЕНА</w:t>
            </w:r>
          </w:p>
          <w:p w:rsidR="00A71404" w:rsidRPr="004A114C" w:rsidRDefault="00A71404" w:rsidP="00995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 Совета депутатов</w:t>
            </w:r>
          </w:p>
          <w:p w:rsidR="00A71404" w:rsidRPr="002C025E" w:rsidRDefault="00A71404" w:rsidP="00995A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A71404" w:rsidRPr="00995A62" w:rsidRDefault="00995A62" w:rsidP="00995A62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5A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«20» января 2017 года №58\1</w:t>
            </w:r>
          </w:p>
          <w:p w:rsidR="00A71404" w:rsidRDefault="00A71404" w:rsidP="00A714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25E" w:rsidRDefault="002C025E" w:rsidP="002909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2227" w:rsidRDefault="00B12227" w:rsidP="002909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404" w:rsidRDefault="00A71404" w:rsidP="00290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04" w:rsidRDefault="00A71404" w:rsidP="00290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04" w:rsidRDefault="00A71404" w:rsidP="00290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0929" w:rsidRPr="002C025E" w:rsidRDefault="00290929" w:rsidP="00290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ПРОГРАММА</w:t>
      </w:r>
    </w:p>
    <w:p w:rsidR="00290929" w:rsidRPr="002C025E" w:rsidRDefault="00290929" w:rsidP="00290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К</w:t>
      </w:r>
      <w:r w:rsidR="002C025E">
        <w:rPr>
          <w:rFonts w:ascii="Times New Roman" w:hAnsi="Times New Roman" w:cs="Times New Roman"/>
          <w:sz w:val="24"/>
          <w:szCs w:val="24"/>
        </w:rPr>
        <w:t>ОМПЛЕКСНОГО РАЗВИТИЯ ТРАНСПОРТНОЙ ИНФРАСТРУКТУРЫ</w:t>
      </w:r>
    </w:p>
    <w:p w:rsidR="00290929" w:rsidRPr="002C025E" w:rsidRDefault="00C11F13" w:rsidP="00290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19A1">
        <w:rPr>
          <w:rFonts w:ascii="Times New Roman" w:hAnsi="Times New Roman" w:cs="Times New Roman"/>
          <w:sz w:val="24"/>
          <w:szCs w:val="24"/>
        </w:rPr>
        <w:t>БЕРДЯУШСКОГО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25E">
        <w:rPr>
          <w:rFonts w:ascii="Times New Roman" w:hAnsi="Times New Roman" w:cs="Times New Roman"/>
          <w:sz w:val="24"/>
          <w:szCs w:val="24"/>
        </w:rPr>
        <w:t>ГОРОДСКОГО ПОСЕЛЕНИЯ САТКИНСКОГО МУНИЦИПАЛЬНОГО РАЙОНА ЧЕЛЯБИНСКОЙ ОБЛАСТИ</w:t>
      </w:r>
    </w:p>
    <w:p w:rsidR="00290929" w:rsidRPr="002C025E" w:rsidRDefault="00290929" w:rsidP="00290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на 201</w:t>
      </w:r>
      <w:r w:rsidR="00783D37" w:rsidRPr="002C025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C025E">
        <w:rPr>
          <w:rFonts w:ascii="Times New Roman" w:hAnsi="Times New Roman" w:cs="Times New Roman"/>
          <w:sz w:val="24"/>
          <w:szCs w:val="24"/>
        </w:rPr>
        <w:t>-202</w:t>
      </w:r>
      <w:r w:rsidR="00783D37" w:rsidRPr="002C025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2C025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90929" w:rsidRPr="002C025E" w:rsidRDefault="00290929" w:rsidP="00290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E97" w:rsidRPr="002C025E" w:rsidRDefault="00773E97" w:rsidP="002C025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EA7854" w:rsidRPr="002C025E" w:rsidRDefault="00EA7854" w:rsidP="00EA7854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2410"/>
        <w:gridCol w:w="6804"/>
      </w:tblGrid>
      <w:tr w:rsidR="00530094" w:rsidRPr="002C025E" w:rsidTr="00A83215">
        <w:tc>
          <w:tcPr>
            <w:tcW w:w="2410" w:type="dxa"/>
          </w:tcPr>
          <w:p w:rsidR="00530094" w:rsidRPr="002C025E" w:rsidRDefault="00530094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04" w:type="dxa"/>
          </w:tcPr>
          <w:p w:rsidR="00530094" w:rsidRPr="002C025E" w:rsidRDefault="00530094" w:rsidP="007464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транспо</w:t>
            </w:r>
            <w:r w:rsidR="00C11F13">
              <w:rPr>
                <w:rFonts w:ascii="Times New Roman" w:hAnsi="Times New Roman" w:cs="Times New Roman"/>
                <w:sz w:val="24"/>
                <w:szCs w:val="24"/>
              </w:rPr>
              <w:t xml:space="preserve">ртной инфраструктуры </w:t>
            </w:r>
            <w:proofErr w:type="spellStart"/>
            <w:r w:rsidR="00C11F13" w:rsidRPr="009D19A1"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 w:rsidR="00C1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 на 201</w:t>
            </w:r>
            <w:r w:rsidR="00746498" w:rsidRPr="002C0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46498" w:rsidRPr="002C0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 годы (</w:t>
            </w:r>
            <w:proofErr w:type="spellStart"/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далее-Программа</w:t>
            </w:r>
            <w:proofErr w:type="spellEnd"/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30094" w:rsidRPr="002C025E" w:rsidTr="00A83215">
        <w:tc>
          <w:tcPr>
            <w:tcW w:w="2410" w:type="dxa"/>
          </w:tcPr>
          <w:p w:rsidR="00530094" w:rsidRPr="002C025E" w:rsidRDefault="00530094" w:rsidP="0053009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</w:t>
            </w:r>
          </w:p>
        </w:tc>
        <w:tc>
          <w:tcPr>
            <w:tcW w:w="6804" w:type="dxa"/>
          </w:tcPr>
          <w:p w:rsidR="00530094" w:rsidRPr="002C025E" w:rsidRDefault="00530094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29.12.2014 </w:t>
            </w:r>
            <w:r w:rsidR="00A83215" w:rsidRPr="002C025E">
              <w:rPr>
                <w:rFonts w:ascii="Times New Roman" w:hAnsi="Times New Roman" w:cs="Times New Roman"/>
                <w:sz w:val="24"/>
                <w:szCs w:val="24"/>
              </w:rPr>
              <w:t>№456-ФЗ «О внесении изменений в Градостроительный кодекс Российской федерации и отдельные законодательные акты Российской Федерации», Федеральный закон от 06 октября 2003 года №131-ФЗ «Об общих принципах организации местного самоуправления в Российской Федерации»</w:t>
            </w:r>
            <w:r w:rsidR="00C11F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1F13" w:rsidRPr="009D19A1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C11F13" w:rsidRPr="009D19A1"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 w:rsidR="00C11F13" w:rsidRPr="009D1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9C0" w:rsidRPr="009D19A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</w:t>
            </w:r>
          </w:p>
        </w:tc>
      </w:tr>
      <w:tr w:rsidR="00530094" w:rsidRPr="002C025E" w:rsidTr="00A83215">
        <w:tc>
          <w:tcPr>
            <w:tcW w:w="2410" w:type="dxa"/>
          </w:tcPr>
          <w:p w:rsidR="00530094" w:rsidRPr="002C025E" w:rsidRDefault="00BA39C0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  <w:r w:rsidR="00B12227">
              <w:rPr>
                <w:rFonts w:ascii="Times New Roman" w:hAnsi="Times New Roman" w:cs="Times New Roman"/>
                <w:sz w:val="24"/>
                <w:szCs w:val="24"/>
              </w:rPr>
              <w:t xml:space="preserve"> и разработчик </w:t>
            </w: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</w:tcPr>
          <w:p w:rsidR="00530094" w:rsidRPr="002C025E" w:rsidRDefault="007A6370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3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A6370">
              <w:rPr>
                <w:rFonts w:ascii="Times New Roman" w:hAnsi="Times New Roman" w:cs="Times New Roman"/>
                <w:sz w:val="24"/>
                <w:szCs w:val="24"/>
              </w:rPr>
              <w:t>Саткинского</w:t>
            </w:r>
            <w:proofErr w:type="spellEnd"/>
            <w:r w:rsidRPr="007A637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адрес: 456910 Челябинская обл. </w:t>
            </w:r>
            <w:proofErr w:type="spellStart"/>
            <w:r w:rsidRPr="007A6370">
              <w:rPr>
                <w:rFonts w:ascii="Times New Roman" w:hAnsi="Times New Roman" w:cs="Times New Roman"/>
                <w:sz w:val="24"/>
                <w:szCs w:val="24"/>
              </w:rPr>
              <w:t>Саткинский</w:t>
            </w:r>
            <w:proofErr w:type="spellEnd"/>
            <w:r w:rsidRPr="007A6370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gramStart"/>
            <w:r w:rsidRPr="007A637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A6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6370">
              <w:rPr>
                <w:rFonts w:ascii="Times New Roman" w:hAnsi="Times New Roman" w:cs="Times New Roman"/>
                <w:sz w:val="24"/>
                <w:szCs w:val="24"/>
              </w:rPr>
              <w:t>Сатка</w:t>
            </w:r>
            <w:proofErr w:type="spellEnd"/>
            <w:r w:rsidRPr="007A6370">
              <w:rPr>
                <w:rFonts w:ascii="Times New Roman" w:hAnsi="Times New Roman" w:cs="Times New Roman"/>
                <w:sz w:val="24"/>
                <w:szCs w:val="24"/>
              </w:rPr>
              <w:t>, ул. Металлургов 2</w:t>
            </w:r>
          </w:p>
        </w:tc>
      </w:tr>
      <w:tr w:rsidR="00530094" w:rsidRPr="002C025E" w:rsidTr="00A83215">
        <w:tc>
          <w:tcPr>
            <w:tcW w:w="2410" w:type="dxa"/>
          </w:tcPr>
          <w:p w:rsidR="00530094" w:rsidRPr="002C025E" w:rsidRDefault="00604B3B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04" w:type="dxa"/>
          </w:tcPr>
          <w:p w:rsidR="00530094" w:rsidRPr="002C025E" w:rsidRDefault="00604B3B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</w:t>
            </w:r>
            <w:r w:rsidR="002B0321" w:rsidRPr="002C025E">
              <w:rPr>
                <w:rFonts w:ascii="Times New Roman" w:hAnsi="Times New Roman" w:cs="Times New Roman"/>
                <w:sz w:val="24"/>
                <w:szCs w:val="24"/>
              </w:rPr>
              <w:t>развитие транспо</w:t>
            </w:r>
            <w:r w:rsidR="00C11F13">
              <w:rPr>
                <w:rFonts w:ascii="Times New Roman" w:hAnsi="Times New Roman" w:cs="Times New Roman"/>
                <w:sz w:val="24"/>
                <w:szCs w:val="24"/>
              </w:rPr>
              <w:t xml:space="preserve">ртной инфраструктуры </w:t>
            </w:r>
            <w:proofErr w:type="spellStart"/>
            <w:r w:rsidR="00C11F13" w:rsidRPr="009D19A1">
              <w:rPr>
                <w:rFonts w:ascii="Times New Roman" w:hAnsi="Times New Roman" w:cs="Times New Roman"/>
                <w:sz w:val="24"/>
                <w:szCs w:val="24"/>
              </w:rPr>
              <w:t>Бердяушского</w:t>
            </w:r>
            <w:proofErr w:type="spellEnd"/>
            <w:r w:rsidR="00C11F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321"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</w:t>
            </w:r>
          </w:p>
        </w:tc>
      </w:tr>
      <w:tr w:rsidR="00530094" w:rsidRPr="002C025E" w:rsidTr="00A83215">
        <w:tc>
          <w:tcPr>
            <w:tcW w:w="2410" w:type="dxa"/>
          </w:tcPr>
          <w:p w:rsidR="00530094" w:rsidRPr="002C025E" w:rsidRDefault="002B0321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804" w:type="dxa"/>
          </w:tcPr>
          <w:p w:rsidR="00530094" w:rsidRPr="002C025E" w:rsidRDefault="002B0321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- безопасность, качество и эффективность транспортного обслуживания населения</w:t>
            </w:r>
            <w:r w:rsidR="00635EF1"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, юридических </w:t>
            </w:r>
            <w:r w:rsidR="0092088F" w:rsidRPr="002C025E">
              <w:rPr>
                <w:rFonts w:ascii="Times New Roman" w:hAnsi="Times New Roman" w:cs="Times New Roman"/>
                <w:sz w:val="24"/>
                <w:szCs w:val="24"/>
              </w:rPr>
              <w:t>лиц и индивидуальных предпринимателей городского поселения;</w:t>
            </w:r>
          </w:p>
          <w:p w:rsidR="0092088F" w:rsidRPr="002C025E" w:rsidRDefault="0092088F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-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городского поселения;</w:t>
            </w:r>
          </w:p>
          <w:p w:rsidR="0092088F" w:rsidRPr="002C025E" w:rsidRDefault="00A71404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88F" w:rsidRPr="002C025E">
              <w:rPr>
                <w:rFonts w:ascii="Times New Roman" w:hAnsi="Times New Roman" w:cs="Times New Roman"/>
                <w:sz w:val="24"/>
                <w:szCs w:val="24"/>
              </w:rPr>
              <w:t>эффективность функционирования действующей транспортной инфраструктуры.</w:t>
            </w:r>
          </w:p>
        </w:tc>
      </w:tr>
      <w:tr w:rsidR="00530094" w:rsidRPr="002C025E" w:rsidTr="00A83215">
        <w:tc>
          <w:tcPr>
            <w:tcW w:w="2410" w:type="dxa"/>
          </w:tcPr>
          <w:p w:rsidR="00530094" w:rsidRPr="002C025E" w:rsidRDefault="0092088F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804" w:type="dxa"/>
          </w:tcPr>
          <w:p w:rsidR="00530094" w:rsidRPr="002C025E" w:rsidRDefault="0092088F" w:rsidP="00761A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1A94" w:rsidRPr="002C0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1A94" w:rsidRPr="002C02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30094" w:rsidRPr="002C025E" w:rsidTr="00A83215">
        <w:tc>
          <w:tcPr>
            <w:tcW w:w="2410" w:type="dxa"/>
          </w:tcPr>
          <w:p w:rsidR="00530094" w:rsidRPr="002C025E" w:rsidRDefault="00D3058D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6804" w:type="dxa"/>
          </w:tcPr>
          <w:p w:rsidR="00530094" w:rsidRPr="002C025E" w:rsidRDefault="00761A94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- разработка проектно-сметной документации;</w:t>
            </w:r>
          </w:p>
          <w:p w:rsidR="00761A94" w:rsidRPr="002C025E" w:rsidRDefault="00761A94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- ремонт и капитальный ремонт дорог;</w:t>
            </w:r>
          </w:p>
          <w:p w:rsidR="00761A94" w:rsidRDefault="00761A94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1B2C" w:rsidRPr="002C025E">
              <w:rPr>
                <w:rFonts w:ascii="Times New Roman" w:hAnsi="Times New Roman" w:cs="Times New Roman"/>
                <w:sz w:val="24"/>
                <w:szCs w:val="24"/>
              </w:rPr>
              <w:t>содержание дорог.</w:t>
            </w:r>
          </w:p>
          <w:p w:rsidR="00330991" w:rsidRPr="002C025E" w:rsidRDefault="00330991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58D" w:rsidRPr="002C025E" w:rsidTr="00A83215">
        <w:tc>
          <w:tcPr>
            <w:tcW w:w="2410" w:type="dxa"/>
          </w:tcPr>
          <w:p w:rsidR="00D3058D" w:rsidRPr="002C025E" w:rsidRDefault="00D3058D" w:rsidP="005075C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804" w:type="dxa"/>
          </w:tcPr>
          <w:p w:rsidR="00D3058D" w:rsidRPr="002C025E" w:rsidRDefault="00231B2C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на 2017-2027 годы уточняются при формировании на очередной финансовый год</w:t>
            </w:r>
          </w:p>
        </w:tc>
      </w:tr>
      <w:tr w:rsidR="00D3058D" w:rsidRPr="002C025E" w:rsidTr="00A83215">
        <w:tc>
          <w:tcPr>
            <w:tcW w:w="2410" w:type="dxa"/>
          </w:tcPr>
          <w:p w:rsidR="00D3058D" w:rsidRPr="002C025E" w:rsidRDefault="00D3058D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2C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реализации Программы</w:t>
            </w:r>
          </w:p>
        </w:tc>
        <w:tc>
          <w:tcPr>
            <w:tcW w:w="6804" w:type="dxa"/>
          </w:tcPr>
          <w:p w:rsidR="00D3058D" w:rsidRPr="002C025E" w:rsidRDefault="00D3058D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повышение качества, эффективности и доступности </w:t>
            </w:r>
            <w:r w:rsidRPr="002C02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транспортного </w:t>
            </w:r>
            <w:r w:rsidR="00662A46" w:rsidRPr="002C025E">
              <w:rPr>
                <w:rFonts w:ascii="Times New Roman" w:hAnsi="Times New Roman" w:cs="Times New Roman"/>
                <w:sz w:val="24"/>
                <w:szCs w:val="24"/>
              </w:rPr>
              <w:t>обслуживания населения и субъектов экономической деятельности городского поселения;</w:t>
            </w:r>
          </w:p>
          <w:p w:rsidR="00662A46" w:rsidRPr="002C025E" w:rsidRDefault="00662A46" w:rsidP="00773E9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- обеспечение надежности и безопасности системы транспортной инфраструктуры.</w:t>
            </w:r>
          </w:p>
        </w:tc>
      </w:tr>
    </w:tbl>
    <w:p w:rsidR="00773E97" w:rsidRPr="002C025E" w:rsidRDefault="00773E97" w:rsidP="00773E9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A46" w:rsidRPr="002C025E" w:rsidRDefault="00662A46" w:rsidP="002C025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Характеристика существующего состояния транспо</w:t>
      </w:r>
      <w:r w:rsidR="00C11F13">
        <w:rPr>
          <w:rFonts w:ascii="Times New Roman" w:hAnsi="Times New Roman" w:cs="Times New Roman"/>
          <w:sz w:val="24"/>
          <w:szCs w:val="24"/>
        </w:rPr>
        <w:t xml:space="preserve">ртной инфраструктуры </w:t>
      </w:r>
      <w:proofErr w:type="spellStart"/>
      <w:r w:rsidR="00C11F13" w:rsidRPr="009D19A1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C11F13">
        <w:rPr>
          <w:rFonts w:ascii="Times New Roman" w:hAnsi="Times New Roman" w:cs="Times New Roman"/>
          <w:sz w:val="24"/>
          <w:szCs w:val="24"/>
        </w:rPr>
        <w:t xml:space="preserve"> </w:t>
      </w:r>
      <w:r w:rsidRPr="002C025E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3576CB" w:rsidRPr="002C025E" w:rsidRDefault="003576CB" w:rsidP="003576CB">
      <w:pPr>
        <w:pStyle w:val="a3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62A46" w:rsidRPr="00203FE1" w:rsidRDefault="002754EF" w:rsidP="002754E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 xml:space="preserve">2.1. Анализ положения </w:t>
      </w:r>
      <w:proofErr w:type="spellStart"/>
      <w:r w:rsidR="000052C5" w:rsidRPr="002C025E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0052C5" w:rsidRPr="002C025E">
        <w:rPr>
          <w:rFonts w:ascii="Times New Roman" w:hAnsi="Times New Roman" w:cs="Times New Roman"/>
          <w:sz w:val="24"/>
          <w:szCs w:val="24"/>
        </w:rPr>
        <w:t xml:space="preserve"> муниципального района в структуре Челябинской области, анализ положения </w:t>
      </w:r>
      <w:proofErr w:type="spellStart"/>
      <w:r w:rsidR="00C11F13" w:rsidRPr="009D19A1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2C025E">
        <w:rPr>
          <w:rFonts w:ascii="Times New Roman" w:hAnsi="Times New Roman" w:cs="Times New Roman"/>
          <w:sz w:val="24"/>
          <w:szCs w:val="24"/>
        </w:rPr>
        <w:t xml:space="preserve"> городского поселения в структуре </w:t>
      </w:r>
      <w:proofErr w:type="spellStart"/>
      <w:r w:rsidR="000052C5" w:rsidRPr="002C025E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0052C5" w:rsidRPr="002C025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EA7854" w:rsidRPr="00203FE1" w:rsidRDefault="00EA7854" w:rsidP="002754E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57E5B" w:rsidRPr="002C025E" w:rsidRDefault="00323176" w:rsidP="00657E5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proofErr w:type="spellStart"/>
      <w:r w:rsidRPr="002C025E">
        <w:rPr>
          <w:rFonts w:ascii="Times New Roman" w:hAnsi="Times New Roman" w:cs="Times New Roman"/>
          <w:sz w:val="24"/>
          <w:szCs w:val="24"/>
        </w:rPr>
        <w:t>Саткинский</w:t>
      </w:r>
      <w:proofErr w:type="spellEnd"/>
      <w:r w:rsidRPr="002C025E">
        <w:rPr>
          <w:rFonts w:ascii="Times New Roman" w:hAnsi="Times New Roman" w:cs="Times New Roman"/>
          <w:sz w:val="24"/>
          <w:szCs w:val="24"/>
        </w:rPr>
        <w:t xml:space="preserve"> район расположен в </w:t>
      </w:r>
      <w:r w:rsidR="00657E5B" w:rsidRPr="002C025E">
        <w:rPr>
          <w:rFonts w:ascii="Times New Roman" w:hAnsi="Times New Roman" w:cs="Times New Roman"/>
          <w:color w:val="252525"/>
          <w:sz w:val="24"/>
          <w:szCs w:val="24"/>
        </w:rPr>
        <w:t xml:space="preserve"> северо-западной части Челябинской области. Его протяжённость 60 км, в поперечнике 45 км. </w:t>
      </w:r>
      <w:r w:rsidR="00CF2CD0" w:rsidRPr="002C02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Площадь района - 239 661 </w:t>
      </w:r>
      <w:proofErr w:type="spellStart"/>
      <w:r w:rsidR="00CF2CD0" w:rsidRPr="002C02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гектар</w:t>
      </w:r>
      <w:proofErr w:type="gramStart"/>
      <w:r w:rsidR="00CF2CD0" w:rsidRPr="002C025E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  <w:r w:rsidR="00657E5B" w:rsidRPr="002C025E">
        <w:rPr>
          <w:rFonts w:ascii="Times New Roman" w:hAnsi="Times New Roman" w:cs="Times New Roman"/>
          <w:color w:val="252525"/>
          <w:sz w:val="24"/>
          <w:szCs w:val="24"/>
        </w:rPr>
        <w:t>В</w:t>
      </w:r>
      <w:proofErr w:type="spellEnd"/>
      <w:proofErr w:type="gramEnd"/>
      <w:r w:rsidR="00657E5B" w:rsidRPr="002C025E">
        <w:rPr>
          <w:rFonts w:ascii="Times New Roman" w:hAnsi="Times New Roman" w:cs="Times New Roman"/>
          <w:color w:val="252525"/>
          <w:sz w:val="24"/>
          <w:szCs w:val="24"/>
        </w:rPr>
        <w:t xml:space="preserve"> северной части район граничит с Кусинским, в восточной - с городом Златоустом, в южн</w:t>
      </w:r>
      <w:r w:rsidR="002166A2" w:rsidRPr="002C025E">
        <w:rPr>
          <w:rFonts w:ascii="Times New Roman" w:hAnsi="Times New Roman" w:cs="Times New Roman"/>
          <w:color w:val="252525"/>
          <w:sz w:val="24"/>
          <w:szCs w:val="24"/>
        </w:rPr>
        <w:t xml:space="preserve">ой - с </w:t>
      </w:r>
      <w:proofErr w:type="spellStart"/>
      <w:r w:rsidR="002166A2" w:rsidRPr="002C025E">
        <w:rPr>
          <w:rFonts w:ascii="Times New Roman" w:hAnsi="Times New Roman" w:cs="Times New Roman"/>
          <w:color w:val="252525"/>
          <w:sz w:val="24"/>
          <w:szCs w:val="24"/>
        </w:rPr>
        <w:t>Катав-Ивановским</w:t>
      </w:r>
      <w:proofErr w:type="spellEnd"/>
      <w:r w:rsidR="002166A2" w:rsidRPr="002C025E">
        <w:rPr>
          <w:rFonts w:ascii="Times New Roman" w:hAnsi="Times New Roman" w:cs="Times New Roman"/>
          <w:color w:val="252525"/>
          <w:sz w:val="24"/>
          <w:szCs w:val="24"/>
        </w:rPr>
        <w:t xml:space="preserve"> районом</w:t>
      </w:r>
      <w:r w:rsidR="00657E5B" w:rsidRPr="002C025E">
        <w:rPr>
          <w:rFonts w:ascii="Times New Roman" w:hAnsi="Times New Roman" w:cs="Times New Roman"/>
          <w:color w:val="252525"/>
          <w:sz w:val="24"/>
          <w:szCs w:val="24"/>
        </w:rPr>
        <w:t xml:space="preserve"> Челябинской области, а на западе - с </w:t>
      </w:r>
      <w:proofErr w:type="spellStart"/>
      <w:r w:rsidR="00657E5B" w:rsidRPr="002C025E">
        <w:rPr>
          <w:rFonts w:ascii="Times New Roman" w:hAnsi="Times New Roman" w:cs="Times New Roman"/>
          <w:color w:val="252525"/>
          <w:sz w:val="24"/>
          <w:szCs w:val="24"/>
        </w:rPr>
        <w:t>Дуванским</w:t>
      </w:r>
      <w:proofErr w:type="spellEnd"/>
      <w:r w:rsidR="00657E5B" w:rsidRPr="002C025E">
        <w:rPr>
          <w:rFonts w:ascii="Times New Roman" w:hAnsi="Times New Roman" w:cs="Times New Roman"/>
          <w:color w:val="252525"/>
          <w:sz w:val="24"/>
          <w:szCs w:val="24"/>
        </w:rPr>
        <w:t xml:space="preserve"> районом республики Башкортостан.</w:t>
      </w:r>
    </w:p>
    <w:p w:rsidR="000052C5" w:rsidRPr="002C025E" w:rsidRDefault="000052C5" w:rsidP="000052C5">
      <w:pPr>
        <w:shd w:val="clear" w:color="auto" w:fill="FFFFFF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proofErr w:type="spellStart"/>
      <w:r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Саткинский</w:t>
      </w:r>
      <w:proofErr w:type="spellEnd"/>
      <w:r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муниципальный район объединяет в своём составе 7 муниципальных образований:</w:t>
      </w:r>
    </w:p>
    <w:p w:rsidR="000052C5" w:rsidRPr="002C025E" w:rsidRDefault="00FA6D5C" w:rsidP="00FA6D5C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proofErr w:type="spellStart"/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Айлинское</w:t>
      </w:r>
      <w:proofErr w:type="spellEnd"/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сельское поселение;</w:t>
      </w:r>
    </w:p>
    <w:p w:rsidR="000052C5" w:rsidRPr="002C025E" w:rsidRDefault="00FA6D5C" w:rsidP="00FA6D5C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proofErr w:type="spellStart"/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Бакальское</w:t>
      </w:r>
      <w:proofErr w:type="spellEnd"/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городское поселение;</w:t>
      </w:r>
    </w:p>
    <w:p w:rsidR="000052C5" w:rsidRPr="002C025E" w:rsidRDefault="00FA6D5C" w:rsidP="00FA6D5C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proofErr w:type="spellStart"/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Бердяушское</w:t>
      </w:r>
      <w:proofErr w:type="spellEnd"/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городское поселение;</w:t>
      </w:r>
    </w:p>
    <w:p w:rsidR="000052C5" w:rsidRPr="002C025E" w:rsidRDefault="00FA6D5C" w:rsidP="00FA6D5C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Межевое городское поселение;</w:t>
      </w:r>
    </w:p>
    <w:p w:rsidR="000052C5" w:rsidRPr="002C025E" w:rsidRDefault="00FA6D5C" w:rsidP="00FA6D5C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Романовское сельское поселение;</w:t>
      </w:r>
    </w:p>
    <w:p w:rsidR="000052C5" w:rsidRPr="002C025E" w:rsidRDefault="00FA6D5C" w:rsidP="00FA6D5C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proofErr w:type="spellStart"/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Саткинское</w:t>
      </w:r>
      <w:proofErr w:type="spellEnd"/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городское поселение;</w:t>
      </w:r>
    </w:p>
    <w:p w:rsidR="002754EF" w:rsidRPr="002C025E" w:rsidRDefault="00FA6D5C" w:rsidP="00FA6D5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- </w:t>
      </w:r>
      <w:proofErr w:type="spellStart"/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Сулеинское</w:t>
      </w:r>
      <w:proofErr w:type="spellEnd"/>
      <w:r w:rsidR="000052C5" w:rsidRPr="002C025E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городское поселение.</w:t>
      </w:r>
    </w:p>
    <w:p w:rsidR="00657E5B" w:rsidRPr="002C025E" w:rsidRDefault="00657E5B" w:rsidP="000D210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252525"/>
        </w:rPr>
      </w:pPr>
    </w:p>
    <w:p w:rsidR="002754EF" w:rsidRPr="002C025E" w:rsidRDefault="002754EF" w:rsidP="000052C5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52525"/>
        </w:rPr>
      </w:pPr>
      <w:r w:rsidRPr="002C025E">
        <w:rPr>
          <w:noProof/>
        </w:rPr>
        <w:lastRenderedPageBreak/>
        <w:drawing>
          <wp:inline distT="0" distB="0" distL="0" distR="0">
            <wp:extent cx="5940425" cy="8386482"/>
            <wp:effectExtent l="0" t="0" r="3175" b="0"/>
            <wp:docPr id="1" name="Рисунок 1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F13" w:rsidRPr="009D19A1" w:rsidRDefault="00C11F13" w:rsidP="00C11F13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</w:pPr>
      <w:proofErr w:type="spellStart"/>
      <w:r w:rsidRPr="009D19A1">
        <w:t>Бердяушское</w:t>
      </w:r>
      <w:proofErr w:type="spellEnd"/>
      <w:r w:rsidRPr="009D19A1">
        <w:t xml:space="preserve"> городское поселение располо</w:t>
      </w:r>
      <w:r w:rsidRPr="009D19A1">
        <w:softHyphen/>
        <w:t xml:space="preserve">жено в центральной и южной части </w:t>
      </w:r>
      <w:proofErr w:type="spellStart"/>
      <w:r w:rsidRPr="009D19A1">
        <w:t>Саткинского</w:t>
      </w:r>
      <w:proofErr w:type="spellEnd"/>
      <w:r w:rsidRPr="009D19A1">
        <w:t xml:space="preserve"> муниципального района. Границами городского поселения являются: на севере – Романовское сельское поселение, на востоке – Златоустовский городской округ, </w:t>
      </w:r>
      <w:r w:rsidRPr="009D19A1">
        <w:lastRenderedPageBreak/>
        <w:t xml:space="preserve">на юге – </w:t>
      </w:r>
      <w:proofErr w:type="spellStart"/>
      <w:r w:rsidRPr="009D19A1">
        <w:t>Саткинское</w:t>
      </w:r>
      <w:proofErr w:type="spellEnd"/>
      <w:r w:rsidRPr="009D19A1">
        <w:t xml:space="preserve"> городское поселение, на юго-западе – </w:t>
      </w:r>
      <w:proofErr w:type="spellStart"/>
      <w:r w:rsidRPr="009D19A1">
        <w:t>Сулеинское</w:t>
      </w:r>
      <w:proofErr w:type="spellEnd"/>
      <w:r w:rsidRPr="009D19A1">
        <w:t xml:space="preserve"> городское поселение и </w:t>
      </w:r>
      <w:proofErr w:type="spellStart"/>
      <w:r w:rsidRPr="009D19A1">
        <w:t>Бакальское</w:t>
      </w:r>
      <w:proofErr w:type="spellEnd"/>
      <w:r w:rsidRPr="009D19A1">
        <w:t xml:space="preserve"> городское поселение, на северо-западе – </w:t>
      </w:r>
      <w:proofErr w:type="spellStart"/>
      <w:r w:rsidRPr="009D19A1">
        <w:t>п</w:t>
      </w:r>
      <w:proofErr w:type="gramStart"/>
      <w:r w:rsidRPr="009D19A1">
        <w:t>.Е</w:t>
      </w:r>
      <w:proofErr w:type="gramEnd"/>
      <w:r w:rsidRPr="009D19A1">
        <w:t>диновер</w:t>
      </w:r>
      <w:proofErr w:type="spellEnd"/>
      <w:r w:rsidRPr="009D19A1">
        <w:t xml:space="preserve">, Нижняя </w:t>
      </w:r>
      <w:proofErr w:type="spellStart"/>
      <w:r w:rsidRPr="009D19A1">
        <w:t>Сатка</w:t>
      </w:r>
      <w:proofErr w:type="spellEnd"/>
      <w:r w:rsidRPr="009D19A1">
        <w:t>.</w:t>
      </w:r>
    </w:p>
    <w:p w:rsidR="00C11F13" w:rsidRPr="002C025E" w:rsidRDefault="00C11F13" w:rsidP="00C11F13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252525"/>
        </w:rPr>
      </w:pPr>
      <w:r w:rsidRPr="009D19A1">
        <w:t xml:space="preserve">В </w:t>
      </w:r>
      <w:r w:rsidR="009D19A1">
        <w:t xml:space="preserve">состав </w:t>
      </w:r>
      <w:proofErr w:type="spellStart"/>
      <w:r w:rsidR="009D19A1">
        <w:t>Бердяушского</w:t>
      </w:r>
      <w:proofErr w:type="spellEnd"/>
      <w:r w:rsidR="009D19A1">
        <w:t xml:space="preserve"> городского</w:t>
      </w:r>
      <w:r w:rsidR="009D19A1" w:rsidRPr="009D19A1">
        <w:t xml:space="preserve"> </w:t>
      </w:r>
      <w:r w:rsidRPr="009D19A1">
        <w:t xml:space="preserve">поселения входят: </w:t>
      </w:r>
      <w:proofErr w:type="spellStart"/>
      <w:r w:rsidRPr="009D19A1">
        <w:t>п</w:t>
      </w:r>
      <w:proofErr w:type="gramStart"/>
      <w:r w:rsidRPr="009D19A1">
        <w:t>.Ж</w:t>
      </w:r>
      <w:proofErr w:type="gramEnd"/>
      <w:r w:rsidRPr="009D19A1">
        <w:t>укатау</w:t>
      </w:r>
      <w:proofErr w:type="spellEnd"/>
      <w:r w:rsidRPr="009D19A1">
        <w:t>, п.Бердяуш.</w:t>
      </w:r>
      <w:r w:rsidRPr="009D19A1">
        <w:rPr>
          <w:color w:val="252525"/>
        </w:rPr>
        <w:t xml:space="preserve"> </w:t>
      </w:r>
      <w:proofErr w:type="spellStart"/>
      <w:r w:rsidRPr="009D19A1">
        <w:rPr>
          <w:color w:val="252525"/>
        </w:rPr>
        <w:t>Бердяушское</w:t>
      </w:r>
      <w:proofErr w:type="spellEnd"/>
      <w:r w:rsidRPr="009D19A1">
        <w:rPr>
          <w:color w:val="252525"/>
        </w:rPr>
        <w:t xml:space="preserve"> городское поселение находится в 210 км (по автодороге) от областного центра – города  Челябинск</w:t>
      </w:r>
      <w:r w:rsidR="009D19A1">
        <w:rPr>
          <w:color w:val="252525"/>
        </w:rPr>
        <w:t xml:space="preserve"> и в 34 км</w:t>
      </w:r>
      <w:proofErr w:type="gramStart"/>
      <w:r w:rsidR="009D19A1">
        <w:rPr>
          <w:color w:val="252525"/>
        </w:rPr>
        <w:t>.</w:t>
      </w:r>
      <w:proofErr w:type="gramEnd"/>
      <w:r w:rsidR="009D19A1">
        <w:rPr>
          <w:color w:val="252525"/>
        </w:rPr>
        <w:t xml:space="preserve"> </w:t>
      </w:r>
      <w:proofErr w:type="gramStart"/>
      <w:r w:rsidR="009D19A1">
        <w:rPr>
          <w:color w:val="252525"/>
        </w:rPr>
        <w:t>о</w:t>
      </w:r>
      <w:proofErr w:type="gramEnd"/>
      <w:r w:rsidR="009D19A1">
        <w:rPr>
          <w:color w:val="252525"/>
        </w:rPr>
        <w:t xml:space="preserve">т районного центра г. </w:t>
      </w:r>
      <w:proofErr w:type="spellStart"/>
      <w:r w:rsidR="009D19A1">
        <w:rPr>
          <w:color w:val="252525"/>
        </w:rPr>
        <w:t>Сатка</w:t>
      </w:r>
      <w:proofErr w:type="spellEnd"/>
      <w:r w:rsidRPr="009D19A1">
        <w:rPr>
          <w:color w:val="252525"/>
        </w:rPr>
        <w:t>.</w:t>
      </w:r>
    </w:p>
    <w:p w:rsidR="002754EF" w:rsidRPr="009D19A1" w:rsidRDefault="002754EF" w:rsidP="000D210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252525"/>
        </w:rPr>
      </w:pPr>
      <w:r w:rsidRPr="009D19A1">
        <w:rPr>
          <w:color w:val="252525"/>
        </w:rPr>
        <w:t>2.2.</w:t>
      </w:r>
      <w:r w:rsidR="00CB7328" w:rsidRPr="009D19A1">
        <w:t>Социально – экономическая характеристика</w:t>
      </w:r>
      <w:r w:rsidR="00C11F13" w:rsidRPr="009D19A1">
        <w:t xml:space="preserve"> </w:t>
      </w:r>
      <w:proofErr w:type="spellStart"/>
      <w:r w:rsidR="00C11F13" w:rsidRPr="009D19A1">
        <w:t>Бердяушского</w:t>
      </w:r>
      <w:proofErr w:type="spellEnd"/>
      <w:r w:rsidR="00C11F13" w:rsidRPr="009D19A1">
        <w:t xml:space="preserve"> </w:t>
      </w:r>
      <w:r w:rsidRPr="009D19A1">
        <w:t xml:space="preserve"> городского поселения.</w:t>
      </w:r>
    </w:p>
    <w:p w:rsidR="00C11F13" w:rsidRDefault="00861754" w:rsidP="00C11F13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252525"/>
        </w:rPr>
      </w:pPr>
      <w:r>
        <w:rPr>
          <w:color w:val="252525"/>
        </w:rPr>
        <w:t>Через поселение проходят автомобильные</w:t>
      </w:r>
      <w:r w:rsidR="00C11F13" w:rsidRPr="009D19A1">
        <w:rPr>
          <w:color w:val="252525"/>
        </w:rPr>
        <w:t xml:space="preserve"> дорог</w:t>
      </w:r>
      <w:r>
        <w:rPr>
          <w:color w:val="252525"/>
        </w:rPr>
        <w:t>и</w:t>
      </w:r>
      <w:r w:rsidR="00C11F13" w:rsidRPr="009D19A1">
        <w:rPr>
          <w:color w:val="252525"/>
        </w:rPr>
        <w:t xml:space="preserve"> </w:t>
      </w:r>
      <w:r>
        <w:rPr>
          <w:color w:val="252525"/>
        </w:rPr>
        <w:t>региональн</w:t>
      </w:r>
      <w:r w:rsidR="00C11F13" w:rsidRPr="009D19A1">
        <w:rPr>
          <w:color w:val="252525"/>
        </w:rPr>
        <w:t xml:space="preserve">ого значения </w:t>
      </w:r>
      <w:proofErr w:type="spellStart"/>
      <w:r w:rsidR="00C11F13" w:rsidRPr="009D19A1">
        <w:rPr>
          <w:color w:val="252525"/>
        </w:rPr>
        <w:t>Сатка-рабочий</w:t>
      </w:r>
      <w:proofErr w:type="spellEnd"/>
      <w:r w:rsidR="00C11F13" w:rsidRPr="009D19A1">
        <w:rPr>
          <w:color w:val="252525"/>
        </w:rPr>
        <w:t xml:space="preserve"> поселок Бердяуш </w:t>
      </w:r>
      <w:r>
        <w:rPr>
          <w:color w:val="252525"/>
        </w:rPr>
        <w:t>–</w:t>
      </w:r>
      <w:r w:rsidR="00C11F13" w:rsidRPr="009D19A1">
        <w:rPr>
          <w:color w:val="252525"/>
        </w:rPr>
        <w:t xml:space="preserve"> Пороги</w:t>
      </w:r>
      <w:r>
        <w:rPr>
          <w:color w:val="252525"/>
        </w:rPr>
        <w:t>, Р</w:t>
      </w:r>
      <w:r w:rsidRPr="009D19A1">
        <w:rPr>
          <w:color w:val="252525"/>
        </w:rPr>
        <w:t xml:space="preserve">абочий поселок Бердяуш </w:t>
      </w:r>
      <w:r>
        <w:rPr>
          <w:color w:val="252525"/>
        </w:rPr>
        <w:t xml:space="preserve">– </w:t>
      </w:r>
      <w:proofErr w:type="spellStart"/>
      <w:r>
        <w:rPr>
          <w:color w:val="252525"/>
        </w:rPr>
        <w:t>Жукатау</w:t>
      </w:r>
      <w:proofErr w:type="spellEnd"/>
      <w:r w:rsidR="00C11F13" w:rsidRPr="009D19A1">
        <w:rPr>
          <w:color w:val="252525"/>
        </w:rPr>
        <w:t>, железная дор</w:t>
      </w:r>
      <w:r w:rsidR="00A71404" w:rsidRPr="009D19A1">
        <w:rPr>
          <w:color w:val="252525"/>
        </w:rPr>
        <w:t xml:space="preserve">ога, </w:t>
      </w:r>
      <w:r w:rsidR="00C11F13" w:rsidRPr="009D19A1">
        <w:rPr>
          <w:color w:val="252525"/>
        </w:rPr>
        <w:t xml:space="preserve">имеется хорошее транспортное сообщение с Екатеринбургом и Уфой. </w:t>
      </w:r>
    </w:p>
    <w:p w:rsidR="009D19A1" w:rsidRPr="009D19A1" w:rsidRDefault="009D19A1" w:rsidP="009D19A1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252525"/>
        </w:rPr>
      </w:pPr>
      <w:r w:rsidRPr="009D19A1">
        <w:rPr>
          <w:color w:val="252525"/>
        </w:rPr>
        <w:t xml:space="preserve">Поселок Бердяуш как железнодорожная станция является крупным узлом Южно-Уральской железной дороги, обеспечивает функционирование инфраструктуры железнодорожного транспорта, имеет путевое развитие, позволяющее выполнять операции по приему, отправлению, обгону поездов, операции по обслуживанию пассажиров и приему, выдаче грузов, багажа, </w:t>
      </w:r>
      <w:proofErr w:type="spellStart"/>
      <w:r w:rsidRPr="009D19A1">
        <w:rPr>
          <w:color w:val="252525"/>
        </w:rPr>
        <w:t>грузобагажа</w:t>
      </w:r>
      <w:proofErr w:type="spellEnd"/>
      <w:r w:rsidRPr="009D19A1">
        <w:rPr>
          <w:color w:val="252525"/>
        </w:rPr>
        <w:t>, выполняет маневровые работы по расформированию и формированию поездов и технические операции с поездами.</w:t>
      </w:r>
    </w:p>
    <w:p w:rsidR="00C11F13" w:rsidRPr="009D19A1" w:rsidRDefault="00C11F13" w:rsidP="00C11F13">
      <w:pPr>
        <w:shd w:val="clear" w:color="auto" w:fill="FFFFFF"/>
        <w:spacing w:after="0" w:line="360" w:lineRule="auto"/>
        <w:ind w:firstLine="567"/>
        <w:jc w:val="both"/>
        <w:textAlignment w:val="baseline"/>
      </w:pPr>
      <w:r w:rsidRPr="009D19A1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 xml:space="preserve">По данным Федеральной службы государственной статистики по Челябинской области, численность постоянного населения </w:t>
      </w:r>
      <w:proofErr w:type="spellStart"/>
      <w:r w:rsidRPr="009D19A1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Бердяушского</w:t>
      </w:r>
      <w:proofErr w:type="spellEnd"/>
      <w:r w:rsidRPr="009D19A1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D19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городского поселения</w:t>
      </w:r>
      <w:r w:rsidRPr="009D19A1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, по состоянию на 01.01.2016 года, составила</w:t>
      </w:r>
      <w:r w:rsidRPr="009D19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5610 человек</w:t>
      </w:r>
      <w:r w:rsidRPr="009D19A1">
        <w:rPr>
          <w:rFonts w:ascii="Times New Roman" w:eastAsia="Times New Roman" w:hAnsi="Times New Roman" w:cs="Times New Roman"/>
          <w:color w:val="252525"/>
          <w:sz w:val="24"/>
          <w:szCs w:val="24"/>
          <w:bdr w:val="none" w:sz="0" w:space="0" w:color="auto" w:frame="1"/>
          <w:lang w:eastAsia="ru-RU"/>
        </w:rPr>
        <w:t>. По отношению к соответствующему периоду прошлого года, численность населения сократилась на 0,5 %. </w:t>
      </w:r>
    </w:p>
    <w:p w:rsidR="00C11F13" w:rsidRPr="009D19A1" w:rsidRDefault="001D4F92" w:rsidP="001334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9A1">
        <w:rPr>
          <w:rFonts w:ascii="Times New Roman" w:hAnsi="Times New Roman" w:cs="Times New Roman"/>
          <w:sz w:val="24"/>
          <w:szCs w:val="24"/>
        </w:rPr>
        <w:tab/>
      </w:r>
      <w:r w:rsidR="00C11F13" w:rsidRPr="009D19A1">
        <w:rPr>
          <w:rFonts w:ascii="Times New Roman" w:hAnsi="Times New Roman" w:cs="Times New Roman"/>
          <w:sz w:val="24"/>
          <w:szCs w:val="24"/>
        </w:rPr>
        <w:t>2.3. Характеристика деятельности в сфере транспорта, оценка транспортного спроса.</w:t>
      </w:r>
    </w:p>
    <w:p w:rsidR="00C11F13" w:rsidRPr="009D19A1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9A1">
        <w:rPr>
          <w:rFonts w:ascii="Times New Roman" w:hAnsi="Times New Roman" w:cs="Times New Roman"/>
          <w:sz w:val="24"/>
          <w:szCs w:val="24"/>
        </w:rPr>
        <w:t xml:space="preserve">Транспортно-экономические связи </w:t>
      </w:r>
      <w:proofErr w:type="spellStart"/>
      <w:r w:rsidRPr="009D19A1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9D19A1">
        <w:rPr>
          <w:rFonts w:ascii="Times New Roman" w:hAnsi="Times New Roman" w:cs="Times New Roman"/>
          <w:sz w:val="24"/>
          <w:szCs w:val="24"/>
        </w:rPr>
        <w:t xml:space="preserve"> городского поселения осуществляются автомобильным транспортом</w:t>
      </w:r>
      <w:r w:rsidR="006E0701" w:rsidRPr="009D19A1">
        <w:rPr>
          <w:rFonts w:ascii="Times New Roman" w:hAnsi="Times New Roman" w:cs="Times New Roman"/>
          <w:sz w:val="24"/>
          <w:szCs w:val="24"/>
        </w:rPr>
        <w:t>, железнодорожным транспортом</w:t>
      </w:r>
      <w:r w:rsidRPr="009D19A1">
        <w:rPr>
          <w:rFonts w:ascii="Times New Roman" w:hAnsi="Times New Roman" w:cs="Times New Roman"/>
          <w:sz w:val="24"/>
          <w:szCs w:val="24"/>
        </w:rPr>
        <w:t xml:space="preserve"> и общественным пассажирским транспортом. Основным видом пассажирского транспорта поселения является маршрутное и железнодорожное сообщение. На территории </w:t>
      </w:r>
      <w:r w:rsidR="00817E70" w:rsidRPr="009D19A1">
        <w:rPr>
          <w:rFonts w:ascii="Times New Roman" w:hAnsi="Times New Roman" w:cs="Times New Roman"/>
          <w:sz w:val="24"/>
          <w:szCs w:val="24"/>
        </w:rPr>
        <w:t xml:space="preserve">поселения действует </w:t>
      </w:r>
      <w:r w:rsidR="009D19A1">
        <w:rPr>
          <w:rFonts w:ascii="Times New Roman" w:hAnsi="Times New Roman" w:cs="Times New Roman"/>
          <w:sz w:val="24"/>
          <w:szCs w:val="24"/>
        </w:rPr>
        <w:t>два</w:t>
      </w:r>
      <w:r w:rsidR="00817E70" w:rsidRPr="009D19A1">
        <w:rPr>
          <w:rFonts w:ascii="Times New Roman" w:hAnsi="Times New Roman" w:cs="Times New Roman"/>
          <w:sz w:val="24"/>
          <w:szCs w:val="24"/>
        </w:rPr>
        <w:t xml:space="preserve"> </w:t>
      </w:r>
      <w:r w:rsidRPr="009D19A1">
        <w:rPr>
          <w:rFonts w:ascii="Times New Roman" w:hAnsi="Times New Roman" w:cs="Times New Roman"/>
          <w:sz w:val="24"/>
          <w:szCs w:val="24"/>
        </w:rPr>
        <w:t>муниципальны</w:t>
      </w:r>
      <w:r w:rsidR="009D19A1">
        <w:rPr>
          <w:rFonts w:ascii="Times New Roman" w:hAnsi="Times New Roman" w:cs="Times New Roman"/>
          <w:sz w:val="24"/>
          <w:szCs w:val="24"/>
        </w:rPr>
        <w:t>х</w:t>
      </w:r>
      <w:r w:rsidRPr="009D19A1">
        <w:rPr>
          <w:rFonts w:ascii="Times New Roman" w:hAnsi="Times New Roman" w:cs="Times New Roman"/>
          <w:sz w:val="24"/>
          <w:szCs w:val="24"/>
        </w:rPr>
        <w:t xml:space="preserve"> пригородны</w:t>
      </w:r>
      <w:r w:rsidR="009D19A1">
        <w:rPr>
          <w:rFonts w:ascii="Times New Roman" w:hAnsi="Times New Roman" w:cs="Times New Roman"/>
          <w:sz w:val="24"/>
          <w:szCs w:val="24"/>
        </w:rPr>
        <w:t>х</w:t>
      </w:r>
      <w:r w:rsidRPr="009D19A1">
        <w:rPr>
          <w:rFonts w:ascii="Times New Roman" w:hAnsi="Times New Roman" w:cs="Times New Roman"/>
          <w:sz w:val="24"/>
          <w:szCs w:val="24"/>
        </w:rPr>
        <w:t xml:space="preserve"> маршрут</w:t>
      </w:r>
      <w:r w:rsidR="009D19A1">
        <w:rPr>
          <w:rFonts w:ascii="Times New Roman" w:hAnsi="Times New Roman" w:cs="Times New Roman"/>
          <w:sz w:val="24"/>
          <w:szCs w:val="24"/>
        </w:rPr>
        <w:t>а</w:t>
      </w:r>
      <w:r w:rsidRPr="009D19A1">
        <w:rPr>
          <w:rFonts w:ascii="Times New Roman" w:hAnsi="Times New Roman" w:cs="Times New Roman"/>
          <w:sz w:val="24"/>
          <w:szCs w:val="24"/>
        </w:rPr>
        <w:t>.</w:t>
      </w:r>
    </w:p>
    <w:p w:rsidR="00C11F13" w:rsidRPr="009D19A1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9A1">
        <w:rPr>
          <w:rFonts w:ascii="Times New Roman" w:hAnsi="Times New Roman" w:cs="Times New Roman"/>
          <w:sz w:val="24"/>
          <w:szCs w:val="24"/>
        </w:rPr>
        <w:t>В основе оценки транспортного спроса лежит анализ передвижения населения к объектам тяготения.</w:t>
      </w:r>
    </w:p>
    <w:p w:rsidR="00C11F13" w:rsidRPr="009D19A1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9A1">
        <w:rPr>
          <w:rFonts w:ascii="Times New Roman" w:hAnsi="Times New Roman" w:cs="Times New Roman"/>
          <w:sz w:val="24"/>
          <w:szCs w:val="24"/>
        </w:rPr>
        <w:t>Можно выделить основные группы объектов тяготения:</w:t>
      </w:r>
    </w:p>
    <w:p w:rsidR="00C11F13" w:rsidRPr="009D19A1" w:rsidRDefault="00C11F13" w:rsidP="00C1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A1">
        <w:rPr>
          <w:rFonts w:ascii="Times New Roman" w:hAnsi="Times New Roman" w:cs="Times New Roman"/>
          <w:sz w:val="24"/>
          <w:szCs w:val="24"/>
        </w:rPr>
        <w:t>- объекты промышленной сферы (трудовая деятельность);</w:t>
      </w:r>
    </w:p>
    <w:p w:rsidR="00C11F13" w:rsidRPr="009D19A1" w:rsidRDefault="00C11F13" w:rsidP="00C1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A1">
        <w:rPr>
          <w:rFonts w:ascii="Times New Roman" w:hAnsi="Times New Roman" w:cs="Times New Roman"/>
          <w:sz w:val="24"/>
          <w:szCs w:val="24"/>
        </w:rPr>
        <w:t>- объекты социальной сферы;</w:t>
      </w:r>
    </w:p>
    <w:p w:rsidR="00C11F13" w:rsidRPr="009D19A1" w:rsidRDefault="00C11F13" w:rsidP="00C1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9A1">
        <w:rPr>
          <w:rFonts w:ascii="Times New Roman" w:hAnsi="Times New Roman" w:cs="Times New Roman"/>
          <w:sz w:val="24"/>
          <w:szCs w:val="24"/>
        </w:rPr>
        <w:t>- узловые объекты транспортной инфраструктуры.</w:t>
      </w:r>
    </w:p>
    <w:p w:rsidR="00C11F13" w:rsidRPr="00AF5DA5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DA5">
        <w:rPr>
          <w:rFonts w:ascii="Times New Roman" w:hAnsi="Times New Roman" w:cs="Times New Roman"/>
          <w:sz w:val="24"/>
          <w:szCs w:val="24"/>
        </w:rPr>
        <w:lastRenderedPageBreak/>
        <w:t>2.4. Характеристика функционирования и показатели работы транспортной инфраструктуры по видам транспорта.</w:t>
      </w:r>
    </w:p>
    <w:p w:rsidR="00C11F13" w:rsidRPr="00AF5DA5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DA5">
        <w:rPr>
          <w:rFonts w:ascii="Times New Roman" w:hAnsi="Times New Roman" w:cs="Times New Roman"/>
          <w:sz w:val="24"/>
          <w:szCs w:val="24"/>
        </w:rPr>
        <w:t>Автомоб</w:t>
      </w:r>
      <w:r w:rsidR="00AF5DA5" w:rsidRPr="00AF5DA5">
        <w:rPr>
          <w:rFonts w:ascii="Times New Roman" w:hAnsi="Times New Roman" w:cs="Times New Roman"/>
          <w:sz w:val="24"/>
          <w:szCs w:val="24"/>
        </w:rPr>
        <w:t xml:space="preserve">илизация </w:t>
      </w:r>
      <w:proofErr w:type="spellStart"/>
      <w:r w:rsidR="00AF5DA5" w:rsidRPr="00AF5DA5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13341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bookmarkStart w:id="0" w:name="_GoBack"/>
      <w:bookmarkEnd w:id="0"/>
      <w:r w:rsidRPr="00AF5DA5">
        <w:rPr>
          <w:rFonts w:ascii="Times New Roman" w:hAnsi="Times New Roman" w:cs="Times New Roman"/>
          <w:sz w:val="24"/>
          <w:szCs w:val="24"/>
        </w:rPr>
        <w:t xml:space="preserve">  299 единиц/1000 человек в 2016 году оценивается как средняя, при среднем уровне автомобилизации в Российской Федерации 287 единиц на 1000 человек.</w:t>
      </w:r>
    </w:p>
    <w:p w:rsidR="00C11F13" w:rsidRPr="00BE333C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33C">
        <w:rPr>
          <w:rFonts w:ascii="Times New Roman" w:hAnsi="Times New Roman" w:cs="Times New Roman"/>
          <w:sz w:val="24"/>
          <w:szCs w:val="24"/>
        </w:rPr>
        <w:t xml:space="preserve">2.5. Характеристика сети дорог поселения, параметры дорожного движения, оценка качества дорог </w:t>
      </w:r>
    </w:p>
    <w:p w:rsidR="00C11F13" w:rsidRPr="00BE333C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33C">
        <w:rPr>
          <w:rFonts w:ascii="Times New Roman" w:hAnsi="Times New Roman" w:cs="Times New Roman"/>
          <w:sz w:val="24"/>
          <w:szCs w:val="24"/>
        </w:rPr>
        <w:t xml:space="preserve">Дорожно-транспортная сеть поселения состоит из дорог </w:t>
      </w:r>
      <w:r w:rsidRPr="00BE333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BE333C">
        <w:rPr>
          <w:rFonts w:ascii="Times New Roman" w:hAnsi="Times New Roman" w:cs="Times New Roman"/>
          <w:sz w:val="24"/>
          <w:szCs w:val="24"/>
        </w:rPr>
        <w:t xml:space="preserve"> и </w:t>
      </w:r>
      <w:r w:rsidR="00BE333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E333C">
        <w:rPr>
          <w:rFonts w:ascii="Times New Roman" w:hAnsi="Times New Roman" w:cs="Times New Roman"/>
          <w:sz w:val="24"/>
          <w:szCs w:val="24"/>
        </w:rPr>
        <w:t xml:space="preserve"> категории, не предназначенных для скоростного движения. Большинство дорог общего пользования местного значения имеют </w:t>
      </w:r>
      <w:r w:rsidR="00BE333C">
        <w:rPr>
          <w:rFonts w:ascii="Times New Roman" w:hAnsi="Times New Roman" w:cs="Times New Roman"/>
          <w:sz w:val="24"/>
          <w:szCs w:val="24"/>
        </w:rPr>
        <w:t xml:space="preserve">грунтовое </w:t>
      </w:r>
      <w:r w:rsidRPr="00BE333C">
        <w:rPr>
          <w:rFonts w:ascii="Times New Roman" w:hAnsi="Times New Roman" w:cs="Times New Roman"/>
          <w:sz w:val="24"/>
          <w:szCs w:val="24"/>
        </w:rPr>
        <w:t>и щебеночное покрытие. Содержание  автомобильных дорог осуществляется подрядной организацией по муниципальному контракту. Проверка качества содержания дорог проводится по согласованному графику, в соответствии с установленными критериями.</w:t>
      </w:r>
    </w:p>
    <w:p w:rsidR="00C11F13" w:rsidRPr="00BE333C" w:rsidRDefault="00C11F13" w:rsidP="00C11F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E333C">
        <w:rPr>
          <w:rFonts w:ascii="Times New Roman" w:hAnsi="Times New Roman" w:cs="Times New Roman"/>
          <w:sz w:val="24"/>
          <w:szCs w:val="24"/>
        </w:rPr>
        <w:t xml:space="preserve">Протяженность автомобильных дорог </w:t>
      </w:r>
      <w:proofErr w:type="spellStart"/>
      <w:r w:rsidRPr="00BE333C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BE333C">
        <w:rPr>
          <w:rFonts w:ascii="Times New Roman" w:hAnsi="Times New Roman" w:cs="Times New Roman"/>
          <w:sz w:val="24"/>
          <w:szCs w:val="24"/>
        </w:rPr>
        <w:t xml:space="preserve">  городского поселения, в том числе по типам покрытий: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6"/>
        <w:gridCol w:w="2268"/>
        <w:gridCol w:w="1841"/>
        <w:gridCol w:w="1428"/>
      </w:tblGrid>
      <w:tr w:rsidR="00C11F13" w:rsidRPr="00BE333C" w:rsidTr="00B4648E">
        <w:trPr>
          <w:trHeight w:val="690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C11F13" w:rsidRPr="00BE333C" w:rsidRDefault="00C11F13" w:rsidP="00B4648E">
            <w:pPr>
              <w:tabs>
                <w:tab w:val="left" w:pos="-108"/>
              </w:tabs>
              <w:spacing w:after="0" w:line="360" w:lineRule="auto"/>
              <w:ind w:right="33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значения, </w:t>
            </w:r>
            <w:proofErr w:type="gramStart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527" w:type="dxa"/>
            <w:gridSpan w:val="3"/>
            <w:shd w:val="clear" w:color="auto" w:fill="auto"/>
            <w:vAlign w:val="center"/>
          </w:tcPr>
          <w:p w:rsidR="00C11F13" w:rsidRPr="00BE333C" w:rsidRDefault="00C11F13" w:rsidP="00B4648E">
            <w:pPr>
              <w:tabs>
                <w:tab w:val="left" w:pos="0"/>
                <w:tab w:val="left" w:pos="3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типам покрытий:</w:t>
            </w:r>
          </w:p>
        </w:tc>
      </w:tr>
      <w:tr w:rsidR="00C11F13" w:rsidRPr="00BE333C" w:rsidTr="00B4648E">
        <w:trPr>
          <w:trHeight w:val="690"/>
        </w:trPr>
        <w:tc>
          <w:tcPr>
            <w:tcW w:w="3936" w:type="dxa"/>
            <w:vMerge/>
            <w:shd w:val="clear" w:color="auto" w:fill="auto"/>
            <w:vAlign w:val="center"/>
          </w:tcPr>
          <w:p w:rsidR="00C11F13" w:rsidRPr="00BE333C" w:rsidRDefault="00C11F13" w:rsidP="00B4648E">
            <w:pPr>
              <w:tabs>
                <w:tab w:val="left" w:pos="-108"/>
              </w:tabs>
              <w:spacing w:after="0" w:line="360" w:lineRule="auto"/>
              <w:ind w:right="-284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11F13" w:rsidRPr="00BE333C" w:rsidRDefault="00C11F13" w:rsidP="00B4648E">
            <w:pPr>
              <w:tabs>
                <w:tab w:val="left" w:pos="0"/>
                <w:tab w:val="left" w:pos="34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Асфальтобетонное</w:t>
            </w:r>
            <w:proofErr w:type="gramStart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spellEnd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1F13" w:rsidRPr="00BE333C" w:rsidRDefault="00C11F13" w:rsidP="00B4648E">
            <w:pPr>
              <w:tabs>
                <w:tab w:val="left" w:pos="-71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Щебеночное</w:t>
            </w:r>
            <w:proofErr w:type="gramStart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spellEnd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F13" w:rsidRPr="00BE333C" w:rsidRDefault="00C11F13" w:rsidP="00B4648E">
            <w:pPr>
              <w:tabs>
                <w:tab w:val="left" w:pos="0"/>
              </w:tabs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Грунтовое</w:t>
            </w:r>
            <w:proofErr w:type="gramStart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,к</w:t>
            </w:r>
            <w:proofErr w:type="gramEnd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spellEnd"/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C11F13" w:rsidRPr="00EA5296" w:rsidTr="00B4648E">
        <w:tc>
          <w:tcPr>
            <w:tcW w:w="3936" w:type="dxa"/>
            <w:shd w:val="clear" w:color="auto" w:fill="auto"/>
            <w:vAlign w:val="center"/>
          </w:tcPr>
          <w:p w:rsidR="00C11F13" w:rsidRPr="00BE333C" w:rsidRDefault="00C11F13" w:rsidP="00B4648E">
            <w:pPr>
              <w:tabs>
                <w:tab w:val="left" w:pos="0"/>
              </w:tabs>
              <w:spacing w:after="0" w:line="360" w:lineRule="auto"/>
              <w:ind w:right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1F13" w:rsidRPr="00BE333C" w:rsidRDefault="00C11F13" w:rsidP="00B4648E">
            <w:pPr>
              <w:tabs>
                <w:tab w:val="left" w:pos="180"/>
                <w:tab w:val="left" w:pos="540"/>
              </w:tabs>
              <w:spacing w:after="0" w:line="360" w:lineRule="auto"/>
              <w:ind w:right="-1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3,9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11F13" w:rsidRPr="00BE333C" w:rsidRDefault="00C11F13" w:rsidP="00B4648E">
            <w:pPr>
              <w:tabs>
                <w:tab w:val="left" w:pos="180"/>
                <w:tab w:val="left" w:pos="54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11F13" w:rsidRPr="00EA5296" w:rsidRDefault="00C11F13" w:rsidP="00B4648E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333C"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</w:tc>
      </w:tr>
    </w:tbl>
    <w:p w:rsidR="00C11F13" w:rsidRDefault="00C11F13" w:rsidP="001E543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F13" w:rsidRPr="00CA1CF5" w:rsidRDefault="009A776F" w:rsidP="00C11F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 xml:space="preserve"> </w:t>
      </w:r>
      <w:r w:rsidR="00CA1CF5">
        <w:rPr>
          <w:rFonts w:ascii="Times New Roman" w:hAnsi="Times New Roman" w:cs="Times New Roman"/>
          <w:sz w:val="24"/>
          <w:szCs w:val="24"/>
        </w:rPr>
        <w:tab/>
      </w:r>
      <w:r w:rsidR="00C11F13" w:rsidRPr="00CA1CF5">
        <w:rPr>
          <w:rFonts w:ascii="Times New Roman" w:hAnsi="Times New Roman" w:cs="Times New Roman"/>
          <w:sz w:val="24"/>
          <w:szCs w:val="24"/>
        </w:rPr>
        <w:t>2.6. Анализ состава парка транспортных средств и уровня автомобилизации городского поселения, обеспеченность парковками (парковочными местами).</w:t>
      </w:r>
    </w:p>
    <w:p w:rsidR="00C11F13" w:rsidRPr="002C025E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CF5">
        <w:rPr>
          <w:rFonts w:ascii="Times New Roman" w:hAnsi="Times New Roman" w:cs="Times New Roman"/>
          <w:sz w:val="24"/>
          <w:szCs w:val="24"/>
        </w:rPr>
        <w:t xml:space="preserve">Автомобильный парк </w:t>
      </w:r>
      <w:proofErr w:type="spellStart"/>
      <w:r w:rsidRPr="00CA1CF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CA1CF5">
        <w:rPr>
          <w:rFonts w:ascii="Times New Roman" w:hAnsi="Times New Roman" w:cs="Times New Roman"/>
          <w:sz w:val="24"/>
          <w:szCs w:val="24"/>
        </w:rPr>
        <w:t xml:space="preserve"> городского поселения преимущественно состоит из легковых автомобилей, принадлежащих частным лицам. Хранение транспортных средств осуществляется на придомовых территориях,</w:t>
      </w:r>
      <w:r w:rsidR="00982F1A">
        <w:rPr>
          <w:rFonts w:ascii="Times New Roman" w:hAnsi="Times New Roman" w:cs="Times New Roman"/>
          <w:sz w:val="24"/>
          <w:szCs w:val="24"/>
        </w:rPr>
        <w:t xml:space="preserve"> в</w:t>
      </w:r>
      <w:r w:rsidRPr="00CA1CF5">
        <w:rPr>
          <w:rFonts w:ascii="Times New Roman" w:hAnsi="Times New Roman" w:cs="Times New Roman"/>
          <w:sz w:val="24"/>
          <w:szCs w:val="24"/>
        </w:rPr>
        <w:t xml:space="preserve"> гаражных кооперативах.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9A776F" w:rsidRPr="002C025E" w:rsidRDefault="001404B8" w:rsidP="00140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2.</w:t>
      </w:r>
      <w:r w:rsidR="003576CB" w:rsidRPr="002C025E">
        <w:rPr>
          <w:rFonts w:ascii="Times New Roman" w:hAnsi="Times New Roman" w:cs="Times New Roman"/>
          <w:sz w:val="24"/>
          <w:szCs w:val="24"/>
        </w:rPr>
        <w:t>7</w:t>
      </w:r>
      <w:r w:rsidRPr="002C025E">
        <w:rPr>
          <w:rFonts w:ascii="Times New Roman" w:hAnsi="Times New Roman" w:cs="Times New Roman"/>
          <w:sz w:val="24"/>
          <w:szCs w:val="24"/>
        </w:rPr>
        <w:t>. Характеристика работы транспортных средств общего пользования, включая анализ пассажиропотока.</w:t>
      </w:r>
    </w:p>
    <w:p w:rsidR="001404B8" w:rsidRPr="002C025E" w:rsidRDefault="001404B8" w:rsidP="00140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 xml:space="preserve">Передвижение по территории населенных пунктов городского поселения осуществляется с использованием пассажирского </w:t>
      </w:r>
      <w:r w:rsidR="003718C5" w:rsidRPr="002C025E">
        <w:rPr>
          <w:rFonts w:ascii="Times New Roman" w:hAnsi="Times New Roman" w:cs="Times New Roman"/>
          <w:sz w:val="24"/>
          <w:szCs w:val="24"/>
        </w:rPr>
        <w:t xml:space="preserve">автобусного транспорта, личного транспорта либо в пешем порядке. Городское и пригородное автобусное движение внутри и между населенными пунктами организовано в соответствии с расписанием. </w:t>
      </w:r>
    </w:p>
    <w:p w:rsidR="00A00D68" w:rsidRDefault="00A00D68" w:rsidP="00140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0D68" w:rsidRDefault="00A00D68" w:rsidP="00140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F51" w:rsidRPr="002C025E" w:rsidRDefault="00613F51" w:rsidP="001404B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lastRenderedPageBreak/>
        <w:t>Регулярные пригородные маршруты:</w:t>
      </w:r>
    </w:p>
    <w:tbl>
      <w:tblPr>
        <w:tblStyle w:val="a4"/>
        <w:tblW w:w="9585" w:type="dxa"/>
        <w:tblLook w:val="04A0"/>
      </w:tblPr>
      <w:tblGrid>
        <w:gridCol w:w="1809"/>
        <w:gridCol w:w="3261"/>
        <w:gridCol w:w="1701"/>
        <w:gridCol w:w="2814"/>
      </w:tblGrid>
      <w:tr w:rsidR="00757C7E" w:rsidRPr="002C025E" w:rsidTr="00757C7E">
        <w:tc>
          <w:tcPr>
            <w:tcW w:w="1809" w:type="dxa"/>
          </w:tcPr>
          <w:p w:rsidR="00757C7E" w:rsidRPr="002C025E" w:rsidRDefault="00757C7E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Номер маршрута</w:t>
            </w:r>
          </w:p>
        </w:tc>
        <w:tc>
          <w:tcPr>
            <w:tcW w:w="3261" w:type="dxa"/>
          </w:tcPr>
          <w:p w:rsidR="00757C7E" w:rsidRPr="002C025E" w:rsidRDefault="00757C7E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Маршрут (начальный и конечный пункт)</w:t>
            </w:r>
          </w:p>
        </w:tc>
        <w:tc>
          <w:tcPr>
            <w:tcW w:w="1701" w:type="dxa"/>
          </w:tcPr>
          <w:p w:rsidR="00757C7E" w:rsidRPr="002C025E" w:rsidRDefault="00757C7E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Число рейсов в день</w:t>
            </w:r>
          </w:p>
        </w:tc>
        <w:tc>
          <w:tcPr>
            <w:tcW w:w="2814" w:type="dxa"/>
          </w:tcPr>
          <w:p w:rsidR="00757C7E" w:rsidRPr="002C025E" w:rsidRDefault="00757C7E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Пассажирооборот за 1 рейс, </w:t>
            </w:r>
            <w:proofErr w:type="spellStart"/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пасс</w:t>
            </w:r>
            <w:proofErr w:type="gramStart"/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C7E" w:rsidRPr="002C025E" w:rsidTr="00757C7E">
        <w:tc>
          <w:tcPr>
            <w:tcW w:w="1809" w:type="dxa"/>
          </w:tcPr>
          <w:p w:rsidR="00757C7E" w:rsidRPr="002C025E" w:rsidRDefault="00757C7E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№401</w:t>
            </w:r>
          </w:p>
        </w:tc>
        <w:tc>
          <w:tcPr>
            <w:tcW w:w="3261" w:type="dxa"/>
          </w:tcPr>
          <w:p w:rsidR="00757C7E" w:rsidRPr="002C025E" w:rsidRDefault="00757C7E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«Бакал – Бердяуш»</w:t>
            </w:r>
          </w:p>
        </w:tc>
        <w:tc>
          <w:tcPr>
            <w:tcW w:w="1701" w:type="dxa"/>
          </w:tcPr>
          <w:p w:rsidR="00757C7E" w:rsidRPr="002C025E" w:rsidRDefault="00757C7E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4" w:type="dxa"/>
          </w:tcPr>
          <w:p w:rsidR="00757C7E" w:rsidRPr="002C025E" w:rsidRDefault="00AA7C50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25E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</w:tr>
      <w:tr w:rsidR="00757C7E" w:rsidRPr="002C025E" w:rsidTr="00757C7E">
        <w:tc>
          <w:tcPr>
            <w:tcW w:w="1809" w:type="dxa"/>
          </w:tcPr>
          <w:p w:rsidR="00757C7E" w:rsidRPr="00CA1CF5" w:rsidRDefault="00AA7C50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F5">
              <w:rPr>
                <w:rFonts w:ascii="Times New Roman" w:hAnsi="Times New Roman" w:cs="Times New Roman"/>
                <w:sz w:val="24"/>
                <w:szCs w:val="24"/>
              </w:rPr>
              <w:t>№403</w:t>
            </w:r>
          </w:p>
        </w:tc>
        <w:tc>
          <w:tcPr>
            <w:tcW w:w="3261" w:type="dxa"/>
          </w:tcPr>
          <w:p w:rsidR="00757C7E" w:rsidRPr="00CA1CF5" w:rsidRDefault="00AA7C50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1CF5">
              <w:rPr>
                <w:rFonts w:ascii="Times New Roman" w:hAnsi="Times New Roman" w:cs="Times New Roman"/>
                <w:sz w:val="24"/>
                <w:szCs w:val="24"/>
              </w:rPr>
              <w:t>Сатка</w:t>
            </w:r>
            <w:proofErr w:type="spellEnd"/>
            <w:r w:rsidRPr="00CA1CF5">
              <w:rPr>
                <w:rFonts w:ascii="Times New Roman" w:hAnsi="Times New Roman" w:cs="Times New Roman"/>
                <w:sz w:val="24"/>
                <w:szCs w:val="24"/>
              </w:rPr>
              <w:t xml:space="preserve"> – Бердяуш»</w:t>
            </w:r>
          </w:p>
        </w:tc>
        <w:tc>
          <w:tcPr>
            <w:tcW w:w="1701" w:type="dxa"/>
          </w:tcPr>
          <w:p w:rsidR="00757C7E" w:rsidRPr="00CA1CF5" w:rsidRDefault="00AA7C50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4" w:type="dxa"/>
          </w:tcPr>
          <w:p w:rsidR="00757C7E" w:rsidRPr="00CA1CF5" w:rsidRDefault="00AA7C50" w:rsidP="00757C7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CF5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</w:tbl>
    <w:p w:rsidR="00A921DA" w:rsidRPr="002C025E" w:rsidRDefault="00A921DA" w:rsidP="00A921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BB5" w:rsidRPr="002C025E" w:rsidRDefault="003576CB" w:rsidP="002222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2.8</w:t>
      </w:r>
      <w:r w:rsidR="00805BB5" w:rsidRPr="002C025E">
        <w:rPr>
          <w:rFonts w:ascii="Times New Roman" w:hAnsi="Times New Roman" w:cs="Times New Roman"/>
          <w:sz w:val="24"/>
          <w:szCs w:val="24"/>
        </w:rPr>
        <w:t>. Характеристика</w:t>
      </w:r>
      <w:r w:rsidRPr="002C025E">
        <w:rPr>
          <w:rFonts w:ascii="Times New Roman" w:hAnsi="Times New Roman" w:cs="Times New Roman"/>
          <w:sz w:val="24"/>
          <w:szCs w:val="24"/>
        </w:rPr>
        <w:t xml:space="preserve"> условий</w:t>
      </w:r>
      <w:r w:rsidR="00805BB5" w:rsidRPr="002C025E">
        <w:rPr>
          <w:rFonts w:ascii="Times New Roman" w:hAnsi="Times New Roman" w:cs="Times New Roman"/>
          <w:sz w:val="24"/>
          <w:szCs w:val="24"/>
        </w:rPr>
        <w:t xml:space="preserve"> пешеходного и велосипедного передвижения.</w:t>
      </w:r>
    </w:p>
    <w:p w:rsidR="00805BB5" w:rsidRPr="002C025E" w:rsidRDefault="00222207" w:rsidP="002222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Для передвижения пешеходов предусмотрены тротуары. В местах пересечения с проезжей частью оборудованы нерегулируемыми пешеходными переходами.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</w:t>
      </w:r>
    </w:p>
    <w:p w:rsidR="00222207" w:rsidRPr="002C025E" w:rsidRDefault="00222207" w:rsidP="002222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2.</w:t>
      </w:r>
      <w:r w:rsidR="003576CB" w:rsidRPr="002C025E">
        <w:rPr>
          <w:rFonts w:ascii="Times New Roman" w:hAnsi="Times New Roman" w:cs="Times New Roman"/>
          <w:sz w:val="24"/>
          <w:szCs w:val="24"/>
        </w:rPr>
        <w:t>9</w:t>
      </w:r>
      <w:r w:rsidRPr="002C025E">
        <w:rPr>
          <w:rFonts w:ascii="Times New Roman" w:hAnsi="Times New Roman" w:cs="Times New Roman"/>
          <w:sz w:val="24"/>
          <w:szCs w:val="24"/>
        </w:rPr>
        <w:t>. Характеристика движения грузовых транспортных средств.</w:t>
      </w:r>
    </w:p>
    <w:p w:rsidR="00222207" w:rsidRPr="002C025E" w:rsidRDefault="00A216FE" w:rsidP="002222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Грузовые транспортные ср</w:t>
      </w:r>
      <w:r w:rsidR="001166B0">
        <w:rPr>
          <w:rFonts w:ascii="Times New Roman" w:hAnsi="Times New Roman" w:cs="Times New Roman"/>
          <w:sz w:val="24"/>
          <w:szCs w:val="24"/>
        </w:rPr>
        <w:t xml:space="preserve">едства на территории </w:t>
      </w:r>
      <w:proofErr w:type="spellStart"/>
      <w:r w:rsidR="001166B0" w:rsidRPr="009D19A1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9D19A1">
        <w:rPr>
          <w:rFonts w:ascii="Times New Roman" w:hAnsi="Times New Roman" w:cs="Times New Roman"/>
          <w:sz w:val="24"/>
          <w:szCs w:val="24"/>
        </w:rPr>
        <w:t xml:space="preserve"> </w:t>
      </w:r>
      <w:r w:rsidRPr="002C025E">
        <w:rPr>
          <w:rFonts w:ascii="Times New Roman" w:hAnsi="Times New Roman" w:cs="Times New Roman"/>
          <w:sz w:val="24"/>
          <w:szCs w:val="24"/>
        </w:rPr>
        <w:t>городского поселения перемещаются по согласованным маршрутам.</w:t>
      </w:r>
    </w:p>
    <w:p w:rsidR="00C11F13" w:rsidRPr="00B00537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537">
        <w:rPr>
          <w:rFonts w:ascii="Times New Roman" w:hAnsi="Times New Roman" w:cs="Times New Roman"/>
          <w:sz w:val="24"/>
          <w:szCs w:val="24"/>
        </w:rPr>
        <w:t>2.10. Анализ уровня безопасности дорожного движения.</w:t>
      </w:r>
    </w:p>
    <w:p w:rsidR="00C11F13" w:rsidRPr="00B00537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537">
        <w:rPr>
          <w:rFonts w:ascii="Times New Roman" w:hAnsi="Times New Roman" w:cs="Times New Roman"/>
          <w:sz w:val="24"/>
          <w:szCs w:val="24"/>
        </w:rPr>
        <w:t xml:space="preserve"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</w:t>
      </w:r>
    </w:p>
    <w:p w:rsidR="00C11F13" w:rsidRPr="00B00537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537">
        <w:rPr>
          <w:rFonts w:ascii="Times New Roman" w:hAnsi="Times New Roman" w:cs="Times New Roman"/>
          <w:sz w:val="24"/>
          <w:szCs w:val="24"/>
        </w:rPr>
        <w:t>Аварии на автомобильном транспорте при перевозке опасных грузов с выбросом (</w:t>
      </w:r>
      <w:proofErr w:type="spellStart"/>
      <w:r w:rsidRPr="00B00537">
        <w:rPr>
          <w:rFonts w:ascii="Times New Roman" w:hAnsi="Times New Roman" w:cs="Times New Roman"/>
          <w:sz w:val="24"/>
          <w:szCs w:val="24"/>
        </w:rPr>
        <w:t>выливом</w:t>
      </w:r>
      <w:proofErr w:type="spellEnd"/>
      <w:r w:rsidRPr="00B00537">
        <w:rPr>
          <w:rFonts w:ascii="Times New Roman" w:hAnsi="Times New Roman" w:cs="Times New Roman"/>
          <w:sz w:val="24"/>
          <w:szCs w:val="24"/>
        </w:rPr>
        <w:t xml:space="preserve">) опасных химических веществ, взрывом горючих жидкостей и сжиженных газов возможны в той части, где проходят автомобильные дороги регионального значения: </w:t>
      </w:r>
      <w:proofErr w:type="spellStart"/>
      <w:r w:rsidRPr="00B00537">
        <w:rPr>
          <w:rFonts w:ascii="Times New Roman" w:hAnsi="Times New Roman" w:cs="Times New Roman"/>
          <w:sz w:val="24"/>
          <w:szCs w:val="24"/>
        </w:rPr>
        <w:t>Сатка</w:t>
      </w:r>
      <w:proofErr w:type="spellEnd"/>
      <w:r w:rsidRPr="00B00537">
        <w:rPr>
          <w:rFonts w:ascii="Times New Roman" w:hAnsi="Times New Roman" w:cs="Times New Roman"/>
          <w:sz w:val="24"/>
          <w:szCs w:val="24"/>
        </w:rPr>
        <w:t xml:space="preserve"> - рабочий поселок Бердяуш – Пороги.</w:t>
      </w:r>
    </w:p>
    <w:p w:rsidR="00C11F13" w:rsidRPr="00B00537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537">
        <w:rPr>
          <w:rFonts w:ascii="Times New Roman" w:hAnsi="Times New Roman" w:cs="Times New Roman"/>
          <w:sz w:val="24"/>
          <w:szCs w:val="24"/>
        </w:rPr>
        <w:t xml:space="preserve">По территории </w:t>
      </w:r>
      <w:proofErr w:type="spellStart"/>
      <w:r w:rsidRPr="00B00537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B00537">
        <w:rPr>
          <w:rFonts w:ascii="Times New Roman" w:hAnsi="Times New Roman" w:cs="Times New Roman"/>
          <w:sz w:val="24"/>
          <w:szCs w:val="24"/>
        </w:rPr>
        <w:t xml:space="preserve">  городского поселения проходит железная дорога. </w:t>
      </w:r>
    </w:p>
    <w:p w:rsidR="00C11F13" w:rsidRPr="00B00537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537">
        <w:rPr>
          <w:rFonts w:ascii="Times New Roman" w:hAnsi="Times New Roman" w:cs="Times New Roman"/>
          <w:sz w:val="24"/>
          <w:szCs w:val="24"/>
        </w:rPr>
        <w:t xml:space="preserve">Из всех источников опасности на автомобильном транспорте большую угрозу для населения представляют дорожно-транспортные происшествия. </w:t>
      </w:r>
      <w:r w:rsidR="006E0701" w:rsidRPr="00B00537">
        <w:rPr>
          <w:rFonts w:ascii="Times New Roman" w:hAnsi="Times New Roman" w:cs="Times New Roman"/>
          <w:sz w:val="24"/>
          <w:szCs w:val="24"/>
        </w:rPr>
        <w:t xml:space="preserve">По данным ГИБДД </w:t>
      </w:r>
      <w:proofErr w:type="spellStart"/>
      <w:r w:rsidR="006E0701" w:rsidRPr="00B00537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6E0701" w:rsidRPr="00B00537">
        <w:rPr>
          <w:rFonts w:ascii="Times New Roman" w:hAnsi="Times New Roman" w:cs="Times New Roman"/>
          <w:sz w:val="24"/>
          <w:szCs w:val="24"/>
        </w:rPr>
        <w:t xml:space="preserve"> муниципального района за 2015 год на территории </w:t>
      </w:r>
      <w:proofErr w:type="spellStart"/>
      <w:r w:rsidR="006E0701" w:rsidRPr="00B00537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6E0701" w:rsidRPr="00B00537">
        <w:rPr>
          <w:rFonts w:ascii="Times New Roman" w:hAnsi="Times New Roman" w:cs="Times New Roman"/>
          <w:sz w:val="24"/>
          <w:szCs w:val="24"/>
        </w:rPr>
        <w:t xml:space="preserve"> городского поселения зафиксировано 35 дорожно-транспортных происшествий. </w:t>
      </w:r>
      <w:r w:rsidRPr="00B00537">
        <w:rPr>
          <w:rFonts w:ascii="Times New Roman" w:hAnsi="Times New Roman" w:cs="Times New Roman"/>
          <w:sz w:val="24"/>
          <w:szCs w:val="24"/>
        </w:rPr>
        <w:t xml:space="preserve">Основная часть происшествий происходит из-за нарушений правил дорожного движения, превышение скоростного режима и неудовлетворительного качества дорожных покрытий. </w:t>
      </w:r>
    </w:p>
    <w:p w:rsidR="00C11F13" w:rsidRPr="002C025E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537">
        <w:rPr>
          <w:rFonts w:ascii="Times New Roman" w:hAnsi="Times New Roman" w:cs="Times New Roman"/>
          <w:sz w:val="24"/>
          <w:szCs w:val="24"/>
        </w:rPr>
        <w:t>В настоящее время решение проблемы обеспечения безопасности дорожного движения является одной из важнейших задач. Для эффективного решения проблем, связанных с дорожно-транспортной аварийностью,</w:t>
      </w:r>
      <w:r w:rsidR="00982F1A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Pr="00B00537">
        <w:rPr>
          <w:rFonts w:ascii="Times New Roman" w:hAnsi="Times New Roman" w:cs="Times New Roman"/>
          <w:sz w:val="24"/>
          <w:szCs w:val="24"/>
        </w:rPr>
        <w:t xml:space="preserve"> непрерывно обеспечивать </w:t>
      </w:r>
      <w:r w:rsidRPr="00B00537">
        <w:rPr>
          <w:rFonts w:ascii="Times New Roman" w:hAnsi="Times New Roman" w:cs="Times New Roman"/>
          <w:sz w:val="24"/>
          <w:szCs w:val="24"/>
        </w:rPr>
        <w:lastRenderedPageBreak/>
        <w:t>системный подход к реализации мероприятий по повышению безопасности дорожного движения.</w:t>
      </w:r>
    </w:p>
    <w:p w:rsidR="008F2F8C" w:rsidRPr="002C025E" w:rsidRDefault="008F2F8C" w:rsidP="002222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2.1</w:t>
      </w:r>
      <w:r w:rsidR="003576CB" w:rsidRPr="002C025E">
        <w:rPr>
          <w:rFonts w:ascii="Times New Roman" w:hAnsi="Times New Roman" w:cs="Times New Roman"/>
          <w:sz w:val="24"/>
          <w:szCs w:val="24"/>
        </w:rPr>
        <w:t>1</w:t>
      </w:r>
      <w:r w:rsidRPr="002C025E">
        <w:rPr>
          <w:rFonts w:ascii="Times New Roman" w:hAnsi="Times New Roman" w:cs="Times New Roman"/>
          <w:sz w:val="24"/>
          <w:szCs w:val="24"/>
        </w:rPr>
        <w:t>. Оценка уровня негативности воздействия транспортной инфраструктуры на окружающую среду, безопасность и здоровье человека.</w:t>
      </w:r>
    </w:p>
    <w:p w:rsidR="008F2F8C" w:rsidRPr="002C025E" w:rsidRDefault="00E44880" w:rsidP="002222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Характерные факторы, неблагоприятно влияющие на окружающую среду и здоровье:</w:t>
      </w:r>
    </w:p>
    <w:p w:rsidR="00A9733A" w:rsidRPr="002C025E" w:rsidRDefault="00E44880" w:rsidP="002222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 xml:space="preserve">Загрязнение атмосферы. </w:t>
      </w:r>
      <w:proofErr w:type="gramStart"/>
      <w:r w:rsidRPr="002C025E">
        <w:rPr>
          <w:rFonts w:ascii="Times New Roman" w:hAnsi="Times New Roman" w:cs="Times New Roman"/>
          <w:sz w:val="24"/>
          <w:szCs w:val="24"/>
        </w:rPr>
        <w:t>Выброс в воздух дыма и газообразных загрязняющих веществ (</w:t>
      </w:r>
      <w:proofErr w:type="spellStart"/>
      <w:r w:rsidRPr="002C025E">
        <w:rPr>
          <w:rFonts w:ascii="Times New Roman" w:hAnsi="Times New Roman" w:cs="Times New Roman"/>
          <w:sz w:val="24"/>
          <w:szCs w:val="24"/>
        </w:rPr>
        <w:t>диоксин</w:t>
      </w:r>
      <w:proofErr w:type="spellEnd"/>
      <w:r w:rsidRPr="002C025E">
        <w:rPr>
          <w:rFonts w:ascii="Times New Roman" w:hAnsi="Times New Roman" w:cs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</w:t>
      </w:r>
      <w:r w:rsidR="00A9733A" w:rsidRPr="002C025E">
        <w:rPr>
          <w:rFonts w:ascii="Times New Roman" w:hAnsi="Times New Roman" w:cs="Times New Roman"/>
          <w:sz w:val="24"/>
          <w:szCs w:val="24"/>
        </w:rPr>
        <w:t xml:space="preserve"> аллергическим заболеванием. </w:t>
      </w:r>
      <w:proofErr w:type="gramEnd"/>
    </w:p>
    <w:p w:rsidR="00A9733A" w:rsidRPr="002C025E" w:rsidRDefault="00A9733A" w:rsidP="002222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Воздействие шума. Приблизительно 30</w:t>
      </w:r>
      <w:r w:rsidR="005806EA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Pr="002C025E">
        <w:rPr>
          <w:rFonts w:ascii="Times New Roman" w:hAnsi="Times New Roman" w:cs="Times New Roman"/>
          <w:sz w:val="24"/>
          <w:szCs w:val="24"/>
        </w:rPr>
        <w:t xml:space="preserve"> населения России подвергается воздействия шума от автомобильного транспорта с уровнем выше 55 дБ. Это приводит к росту </w:t>
      </w:r>
      <w:proofErr w:type="spellStart"/>
      <w:proofErr w:type="gramStart"/>
      <w:r w:rsidRPr="002C025E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spellEnd"/>
      <w:proofErr w:type="gramEnd"/>
      <w:r w:rsidRPr="002C025E">
        <w:rPr>
          <w:rFonts w:ascii="Times New Roman" w:hAnsi="Times New Roman" w:cs="Times New Roman"/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вызывают раздражительность.</w:t>
      </w:r>
    </w:p>
    <w:p w:rsidR="006971E3" w:rsidRPr="002C025E" w:rsidRDefault="006971E3" w:rsidP="002222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2.1</w:t>
      </w:r>
      <w:r w:rsidR="003576CB" w:rsidRPr="002C025E">
        <w:rPr>
          <w:rFonts w:ascii="Times New Roman" w:hAnsi="Times New Roman" w:cs="Times New Roman"/>
          <w:sz w:val="24"/>
          <w:szCs w:val="24"/>
        </w:rPr>
        <w:t>2</w:t>
      </w:r>
      <w:r w:rsidRPr="002C025E">
        <w:rPr>
          <w:rFonts w:ascii="Times New Roman" w:hAnsi="Times New Roman" w:cs="Times New Roman"/>
          <w:sz w:val="24"/>
          <w:szCs w:val="24"/>
        </w:rPr>
        <w:t>. Оценка нормативно-правовой базы, необходимой для функционирования и развития транспортной системы поселения.</w:t>
      </w:r>
    </w:p>
    <w:p w:rsidR="006971E3" w:rsidRPr="002C025E" w:rsidRDefault="006971E3" w:rsidP="002222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25E">
        <w:rPr>
          <w:rFonts w:ascii="Times New Roman" w:hAnsi="Times New Roman" w:cs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2C025E">
        <w:rPr>
          <w:rFonts w:ascii="Times New Roman" w:hAnsi="Times New Roman" w:cs="Times New Roman"/>
          <w:sz w:val="24"/>
          <w:szCs w:val="24"/>
        </w:rPr>
        <w:t>:</w:t>
      </w:r>
    </w:p>
    <w:p w:rsidR="00E44880" w:rsidRPr="002C025E" w:rsidRDefault="006971E3" w:rsidP="006971E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Градостроительный кодекс Р</w:t>
      </w:r>
      <w:r w:rsidR="005806EA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2C025E">
        <w:rPr>
          <w:rFonts w:ascii="Times New Roman" w:hAnsi="Times New Roman" w:cs="Times New Roman"/>
          <w:sz w:val="24"/>
          <w:szCs w:val="24"/>
        </w:rPr>
        <w:t>Ф</w:t>
      </w:r>
      <w:r w:rsidR="005806EA">
        <w:rPr>
          <w:rFonts w:ascii="Times New Roman" w:hAnsi="Times New Roman" w:cs="Times New Roman"/>
          <w:sz w:val="24"/>
          <w:szCs w:val="24"/>
        </w:rPr>
        <w:t>едерации</w:t>
      </w:r>
      <w:r w:rsidRPr="002C025E">
        <w:rPr>
          <w:rFonts w:ascii="Times New Roman" w:hAnsi="Times New Roman" w:cs="Times New Roman"/>
          <w:sz w:val="24"/>
          <w:szCs w:val="24"/>
        </w:rPr>
        <w:t xml:space="preserve"> от 29.12.2004г. №190-ФЗ;</w:t>
      </w:r>
    </w:p>
    <w:p w:rsidR="006971E3" w:rsidRPr="002C025E" w:rsidRDefault="006971E3" w:rsidP="006971E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 xml:space="preserve">Федеральный закон от 08.11.2007г. №257-ФЗ </w:t>
      </w:r>
      <w:r w:rsidR="00456325" w:rsidRPr="002C025E">
        <w:rPr>
          <w:rFonts w:ascii="Times New Roman" w:hAnsi="Times New Roman" w:cs="Times New Roman"/>
          <w:sz w:val="24"/>
          <w:szCs w:val="24"/>
        </w:rPr>
        <w:t>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456325" w:rsidRPr="002C025E" w:rsidRDefault="00456325" w:rsidP="006971E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Федеральный закон от 10.12.1995г.</w:t>
      </w:r>
      <w:r w:rsidR="00AE25B5" w:rsidRPr="002C025E">
        <w:rPr>
          <w:rFonts w:ascii="Times New Roman" w:hAnsi="Times New Roman" w:cs="Times New Roman"/>
          <w:sz w:val="24"/>
          <w:szCs w:val="24"/>
        </w:rPr>
        <w:t xml:space="preserve"> №196-ФЗ «О безопасности дорожного движения»;</w:t>
      </w:r>
    </w:p>
    <w:p w:rsidR="00AE25B5" w:rsidRPr="002C025E" w:rsidRDefault="00AE25B5" w:rsidP="006971E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Постановление Правительства РФ от 23.10.1993г. №1090 «О правилах дорожного движения»</w:t>
      </w:r>
      <w:r w:rsidR="00522ED3" w:rsidRPr="002C025E">
        <w:rPr>
          <w:rFonts w:ascii="Times New Roman" w:hAnsi="Times New Roman" w:cs="Times New Roman"/>
          <w:sz w:val="24"/>
          <w:szCs w:val="24"/>
        </w:rPr>
        <w:t>;</w:t>
      </w:r>
    </w:p>
    <w:p w:rsidR="00F71392" w:rsidRDefault="00522ED3" w:rsidP="00F7139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22ED3" w:rsidRPr="00F71392" w:rsidRDefault="00522ED3" w:rsidP="00F7139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92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proofErr w:type="spellStart"/>
      <w:r w:rsidR="001166B0" w:rsidRPr="00F71392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1166B0" w:rsidRPr="00F71392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B00537" w:rsidRPr="00F71392">
        <w:rPr>
          <w:rFonts w:ascii="Times New Roman" w:hAnsi="Times New Roman" w:cs="Times New Roman"/>
          <w:sz w:val="24"/>
          <w:szCs w:val="24"/>
        </w:rPr>
        <w:t xml:space="preserve"> </w:t>
      </w:r>
      <w:r w:rsidR="00F71392" w:rsidRPr="00F71392">
        <w:rPr>
          <w:rFonts w:ascii="Times New Roman" w:hAnsi="Times New Roman" w:cs="Times New Roman"/>
          <w:sz w:val="24"/>
          <w:szCs w:val="24"/>
        </w:rPr>
        <w:t xml:space="preserve">утвержден решением совета </w:t>
      </w:r>
      <w:proofErr w:type="spellStart"/>
      <w:r w:rsidR="00F71392" w:rsidRPr="00F71392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F71392" w:rsidRPr="00F71392">
        <w:rPr>
          <w:rFonts w:ascii="Times New Roman" w:hAnsi="Times New Roman" w:cs="Times New Roman"/>
          <w:sz w:val="24"/>
          <w:szCs w:val="24"/>
        </w:rPr>
        <w:t xml:space="preserve"> городского поселения Челябинской области №</w:t>
      </w:r>
      <w:r w:rsidR="00F71392">
        <w:rPr>
          <w:rFonts w:ascii="Times New Roman" w:hAnsi="Times New Roman" w:cs="Times New Roman"/>
          <w:sz w:val="24"/>
          <w:szCs w:val="24"/>
        </w:rPr>
        <w:t>80</w:t>
      </w:r>
      <w:r w:rsidR="00F71392" w:rsidRPr="00F71392">
        <w:rPr>
          <w:rFonts w:ascii="Times New Roman" w:hAnsi="Times New Roman" w:cs="Times New Roman"/>
          <w:sz w:val="24"/>
          <w:szCs w:val="24"/>
        </w:rPr>
        <w:t>/3 от 26.12.2012г.</w:t>
      </w:r>
    </w:p>
    <w:p w:rsidR="00522ED3" w:rsidRPr="00F71392" w:rsidRDefault="00704169" w:rsidP="0070416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392">
        <w:rPr>
          <w:rFonts w:ascii="Times New Roman" w:hAnsi="Times New Roman" w:cs="Times New Roman"/>
          <w:sz w:val="24"/>
          <w:szCs w:val="24"/>
        </w:rPr>
        <w:t>Нормативы градостроител</w:t>
      </w:r>
      <w:r w:rsidR="001166B0" w:rsidRPr="00F71392">
        <w:rPr>
          <w:rFonts w:ascii="Times New Roman" w:hAnsi="Times New Roman" w:cs="Times New Roman"/>
          <w:sz w:val="24"/>
          <w:szCs w:val="24"/>
        </w:rPr>
        <w:t xml:space="preserve">ьного проектирования </w:t>
      </w:r>
      <w:proofErr w:type="spellStart"/>
      <w:r w:rsidR="001166B0" w:rsidRPr="00F71392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1166B0" w:rsidRPr="00F71392">
        <w:rPr>
          <w:rFonts w:ascii="Times New Roman" w:hAnsi="Times New Roman" w:cs="Times New Roman"/>
          <w:sz w:val="24"/>
          <w:szCs w:val="24"/>
        </w:rPr>
        <w:t xml:space="preserve"> </w:t>
      </w:r>
      <w:r w:rsidRPr="00F7139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704169" w:rsidRPr="002C025E" w:rsidRDefault="00704169" w:rsidP="007041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lastRenderedPageBreak/>
        <w:t>Нормативно – правовая база необходимая для функционирования и развития транспортной инфраструктуры сформирована.</w:t>
      </w:r>
    </w:p>
    <w:p w:rsidR="00704169" w:rsidRPr="002C025E" w:rsidRDefault="00704169" w:rsidP="007041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704169" w:rsidRPr="002C025E" w:rsidRDefault="00704169" w:rsidP="007041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162AA3" w:rsidRPr="002C025E" w:rsidRDefault="00704169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В период реализации программы прогнозируется</w:t>
      </w:r>
      <w:r w:rsidR="00162AA3" w:rsidRPr="002C025E">
        <w:rPr>
          <w:rFonts w:ascii="Times New Roman" w:hAnsi="Times New Roman" w:cs="Times New Roman"/>
          <w:sz w:val="24"/>
          <w:szCs w:val="24"/>
        </w:rPr>
        <w:t xml:space="preserve"> тенденция незначительного снижения численности населения.</w:t>
      </w:r>
    </w:p>
    <w:p w:rsidR="00162AA3" w:rsidRPr="002C025E" w:rsidRDefault="001166B0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C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C11CBC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C11CBC">
        <w:rPr>
          <w:rFonts w:ascii="Times New Roman" w:hAnsi="Times New Roman" w:cs="Times New Roman"/>
          <w:sz w:val="24"/>
          <w:szCs w:val="24"/>
        </w:rPr>
        <w:t xml:space="preserve"> </w:t>
      </w:r>
      <w:r w:rsidR="00162AA3" w:rsidRPr="00C11CBC">
        <w:rPr>
          <w:rFonts w:ascii="Times New Roman" w:hAnsi="Times New Roman" w:cs="Times New Roman"/>
          <w:sz w:val="24"/>
          <w:szCs w:val="24"/>
        </w:rPr>
        <w:t xml:space="preserve"> горо</w:t>
      </w:r>
      <w:r w:rsidRPr="00C11CBC">
        <w:rPr>
          <w:rFonts w:ascii="Times New Roman" w:hAnsi="Times New Roman" w:cs="Times New Roman"/>
          <w:sz w:val="24"/>
          <w:szCs w:val="24"/>
        </w:rPr>
        <w:t>дского поселения проживает 5610</w:t>
      </w:r>
      <w:r w:rsidR="00162AA3" w:rsidRPr="00C11CB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04169" w:rsidRPr="002C025E" w:rsidRDefault="00162AA3" w:rsidP="001166B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</w:t>
      </w:r>
      <w:r w:rsidR="006E0701">
        <w:rPr>
          <w:rFonts w:ascii="Times New Roman" w:hAnsi="Times New Roman" w:cs="Times New Roman"/>
          <w:sz w:val="24"/>
          <w:szCs w:val="24"/>
        </w:rPr>
        <w:t xml:space="preserve"> </w:t>
      </w:r>
      <w:r w:rsidRPr="002C025E">
        <w:rPr>
          <w:rFonts w:ascii="Times New Roman" w:hAnsi="Times New Roman" w:cs="Times New Roman"/>
          <w:sz w:val="24"/>
          <w:szCs w:val="24"/>
        </w:rPr>
        <w:t>культуры, инженерными сетями, дорогами и др.) наиболее приоритетными является обеспеченность жителей жильем, удовлетворительное состояние дорог нас</w:t>
      </w:r>
      <w:r w:rsidR="001166B0">
        <w:rPr>
          <w:rFonts w:ascii="Times New Roman" w:hAnsi="Times New Roman" w:cs="Times New Roman"/>
          <w:sz w:val="24"/>
          <w:szCs w:val="24"/>
        </w:rPr>
        <w:t>еленных пунктов.</w:t>
      </w:r>
    </w:p>
    <w:p w:rsidR="00897D6F" w:rsidRPr="002C025E" w:rsidRDefault="00897D6F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</w:t>
      </w:r>
    </w:p>
    <w:p w:rsidR="00897D6F" w:rsidRPr="002C025E" w:rsidRDefault="00897D6F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897D6F" w:rsidRPr="002C025E" w:rsidRDefault="00897D6F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3.3. Прогноз развития транспортной инфраструктуры по видам транспорта.</w:t>
      </w:r>
    </w:p>
    <w:p w:rsidR="002905C5" w:rsidRPr="002C025E" w:rsidRDefault="00897D6F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В период реализации Программы транспортная инфраструктура по видам транспорта не претерпит существенных изменений. Основным видом транспорта остается</w:t>
      </w:r>
      <w:r w:rsidR="00F424DF" w:rsidRPr="002C025E">
        <w:rPr>
          <w:rFonts w:ascii="Times New Roman" w:hAnsi="Times New Roman" w:cs="Times New Roman"/>
          <w:sz w:val="24"/>
          <w:szCs w:val="24"/>
        </w:rPr>
        <w:t xml:space="preserve"> автомобильный транспорт и общественный пассажирский транспорт</w:t>
      </w:r>
      <w:r w:rsidRPr="002C025E">
        <w:rPr>
          <w:rFonts w:ascii="Times New Roman" w:hAnsi="Times New Roman" w:cs="Times New Roman"/>
          <w:sz w:val="24"/>
          <w:szCs w:val="24"/>
        </w:rPr>
        <w:t>.</w:t>
      </w:r>
      <w:r w:rsidR="00343C0F">
        <w:rPr>
          <w:rFonts w:ascii="Times New Roman" w:hAnsi="Times New Roman" w:cs="Times New Roman"/>
          <w:sz w:val="24"/>
          <w:szCs w:val="24"/>
        </w:rPr>
        <w:t xml:space="preserve"> </w:t>
      </w:r>
      <w:r w:rsidR="001876D6" w:rsidRPr="002C025E">
        <w:rPr>
          <w:rFonts w:ascii="Times New Roman" w:hAnsi="Times New Roman" w:cs="Times New Roman"/>
          <w:sz w:val="24"/>
          <w:szCs w:val="24"/>
        </w:rPr>
        <w:t>Транспортная связь с областным пунктом,</w:t>
      </w:r>
      <w:r w:rsidR="00DC1D00" w:rsidRPr="002C025E">
        <w:rPr>
          <w:rFonts w:ascii="Times New Roman" w:hAnsi="Times New Roman" w:cs="Times New Roman"/>
          <w:sz w:val="24"/>
          <w:szCs w:val="24"/>
        </w:rPr>
        <w:t xml:space="preserve"> населенными пунктами</w:t>
      </w:r>
      <w:r w:rsidR="001876D6" w:rsidRPr="002C025E">
        <w:rPr>
          <w:rFonts w:ascii="Times New Roman" w:hAnsi="Times New Roman" w:cs="Times New Roman"/>
          <w:sz w:val="24"/>
          <w:szCs w:val="24"/>
        </w:rPr>
        <w:t xml:space="preserve"> и</w:t>
      </w:r>
      <w:r w:rsidR="00343C0F">
        <w:rPr>
          <w:rFonts w:ascii="Times New Roman" w:hAnsi="Times New Roman" w:cs="Times New Roman"/>
          <w:sz w:val="24"/>
          <w:szCs w:val="24"/>
        </w:rPr>
        <w:t xml:space="preserve"> </w:t>
      </w:r>
      <w:r w:rsidR="001876D6" w:rsidRPr="002C025E">
        <w:rPr>
          <w:rFonts w:ascii="Times New Roman" w:hAnsi="Times New Roman" w:cs="Times New Roman"/>
          <w:sz w:val="24"/>
          <w:szCs w:val="24"/>
        </w:rPr>
        <w:t xml:space="preserve">внутри населенных пунктов </w:t>
      </w:r>
      <w:r w:rsidR="00DC1D00" w:rsidRPr="002C025E">
        <w:rPr>
          <w:rFonts w:ascii="Times New Roman" w:hAnsi="Times New Roman" w:cs="Times New Roman"/>
          <w:sz w:val="24"/>
          <w:szCs w:val="24"/>
        </w:rPr>
        <w:t>будут осуществлят</w:t>
      </w:r>
      <w:r w:rsidR="001876D6" w:rsidRPr="002C025E">
        <w:rPr>
          <w:rFonts w:ascii="Times New Roman" w:hAnsi="Times New Roman" w:cs="Times New Roman"/>
          <w:sz w:val="24"/>
          <w:szCs w:val="24"/>
        </w:rPr>
        <w:t>ь</w:t>
      </w:r>
      <w:r w:rsidR="00DC1D00" w:rsidRPr="002C025E">
        <w:rPr>
          <w:rFonts w:ascii="Times New Roman" w:hAnsi="Times New Roman" w:cs="Times New Roman"/>
          <w:sz w:val="24"/>
          <w:szCs w:val="24"/>
        </w:rPr>
        <w:t>ся</w:t>
      </w:r>
      <w:r w:rsidR="001876D6" w:rsidRPr="002C025E">
        <w:rPr>
          <w:rFonts w:ascii="Times New Roman" w:hAnsi="Times New Roman" w:cs="Times New Roman"/>
          <w:sz w:val="24"/>
          <w:szCs w:val="24"/>
        </w:rPr>
        <w:t xml:space="preserve"> общественным транспортом (автобусное сообщение), </w:t>
      </w:r>
      <w:r w:rsidR="00982F1A">
        <w:rPr>
          <w:rFonts w:ascii="Times New Roman" w:hAnsi="Times New Roman" w:cs="Times New Roman"/>
          <w:sz w:val="24"/>
          <w:szCs w:val="24"/>
        </w:rPr>
        <w:t xml:space="preserve">железнодорожным транспортом, </w:t>
      </w:r>
      <w:r w:rsidR="001876D6" w:rsidRPr="002C025E">
        <w:rPr>
          <w:rFonts w:ascii="Times New Roman" w:hAnsi="Times New Roman" w:cs="Times New Roman"/>
          <w:sz w:val="24"/>
          <w:szCs w:val="24"/>
        </w:rPr>
        <w:t>автомобильным транспортом и пешеходным сообщением. Для целей обслуживания действующих производственных предприятий сохраняется использование грузового и железнодорожного транспорта.</w:t>
      </w:r>
    </w:p>
    <w:p w:rsidR="00E6592F" w:rsidRPr="002C025E" w:rsidRDefault="00E6592F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3.4. Прогноз развития дорожной сети.</w:t>
      </w:r>
    </w:p>
    <w:p w:rsidR="00897D6F" w:rsidRPr="002C025E" w:rsidRDefault="00E6592F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Основными направлениями развития дорожной сети поселения в период реализации Программы будет являться увеличение протяженности, соответс</w:t>
      </w:r>
      <w:r w:rsidR="00982F1A">
        <w:rPr>
          <w:rFonts w:ascii="Times New Roman" w:hAnsi="Times New Roman" w:cs="Times New Roman"/>
          <w:sz w:val="24"/>
          <w:szCs w:val="24"/>
        </w:rPr>
        <w:t>твующим нормативным требованиям</w:t>
      </w:r>
      <w:r w:rsidRPr="002C025E">
        <w:rPr>
          <w:rFonts w:ascii="Times New Roman" w:hAnsi="Times New Roman" w:cs="Times New Roman"/>
          <w:sz w:val="24"/>
          <w:szCs w:val="24"/>
        </w:rPr>
        <w:t xml:space="preserve"> авто</w:t>
      </w:r>
      <w:r w:rsidR="00300819" w:rsidRPr="002C025E">
        <w:rPr>
          <w:rFonts w:ascii="Times New Roman" w:hAnsi="Times New Roman" w:cs="Times New Roman"/>
          <w:sz w:val="24"/>
          <w:szCs w:val="24"/>
        </w:rPr>
        <w:t>мобильных дорог общего пользования за счет ремонта, капитального ремонта, реконструкции автомобильных дорог, поддержание автомобильных дорог на уровне соответствующем категории дороги, путем нормативного содержания дорог, повы</w:t>
      </w:r>
      <w:r w:rsidR="000E7B48" w:rsidRPr="002C025E">
        <w:rPr>
          <w:rFonts w:ascii="Times New Roman" w:hAnsi="Times New Roman" w:cs="Times New Roman"/>
          <w:sz w:val="24"/>
          <w:szCs w:val="24"/>
        </w:rPr>
        <w:t>шения качества и безопасности дорожной сети.</w:t>
      </w:r>
    </w:p>
    <w:p w:rsidR="00737B44" w:rsidRPr="002C025E" w:rsidRDefault="00737B44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3.5. Прогноз уровня автомобилизации, параметров дорожного движения.</w:t>
      </w:r>
    </w:p>
    <w:p w:rsidR="00737B44" w:rsidRPr="002C025E" w:rsidRDefault="00737B44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lastRenderedPageBreak/>
        <w:t xml:space="preserve">При сохранившейся тенденции </w:t>
      </w:r>
      <w:r w:rsidR="00CB3AA0" w:rsidRPr="002C025E">
        <w:rPr>
          <w:rFonts w:ascii="Times New Roman" w:hAnsi="Times New Roman" w:cs="Times New Roman"/>
          <w:sz w:val="24"/>
          <w:szCs w:val="24"/>
        </w:rPr>
        <w:t>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CB3AA0" w:rsidRPr="002C025E" w:rsidRDefault="00BD668B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3.6. Прогноз показателей безопасности дорожного движения.</w:t>
      </w:r>
    </w:p>
    <w:p w:rsidR="00BD668B" w:rsidRPr="002C025E" w:rsidRDefault="00892FA7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движения.</w:t>
      </w:r>
    </w:p>
    <w:p w:rsidR="00346543" w:rsidRPr="002C025E" w:rsidRDefault="00892FA7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Факторами, влияющими на снижение аварийности</w:t>
      </w:r>
      <w:r w:rsidR="00346543" w:rsidRPr="002C025E">
        <w:rPr>
          <w:rFonts w:ascii="Times New Roman" w:hAnsi="Times New Roman" w:cs="Times New Roman"/>
          <w:sz w:val="24"/>
          <w:szCs w:val="24"/>
        </w:rPr>
        <w:t>,</w:t>
      </w:r>
      <w:r w:rsidRPr="002C025E">
        <w:rPr>
          <w:rFonts w:ascii="Times New Roman" w:hAnsi="Times New Roman" w:cs="Times New Roman"/>
          <w:sz w:val="24"/>
          <w:szCs w:val="24"/>
        </w:rPr>
        <w:t xml:space="preserve"> станут</w:t>
      </w:r>
      <w:r w:rsidR="00346543" w:rsidRPr="002C025E">
        <w:rPr>
          <w:rFonts w:ascii="Times New Roman" w:hAnsi="Times New Roman" w:cs="Times New Roman"/>
          <w:sz w:val="24"/>
          <w:szCs w:val="24"/>
        </w:rPr>
        <w:t>:</w:t>
      </w:r>
    </w:p>
    <w:p w:rsidR="00346543" w:rsidRPr="002C025E" w:rsidRDefault="00346543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 xml:space="preserve">- </w:t>
      </w:r>
      <w:r w:rsidR="00892FA7" w:rsidRPr="002C025E">
        <w:rPr>
          <w:rFonts w:ascii="Times New Roman" w:hAnsi="Times New Roman" w:cs="Times New Roman"/>
          <w:sz w:val="24"/>
          <w:szCs w:val="24"/>
        </w:rPr>
        <w:t xml:space="preserve">обеспечение контроля </w:t>
      </w:r>
      <w:r w:rsidR="0061027C" w:rsidRPr="002C025E">
        <w:rPr>
          <w:rFonts w:ascii="Times New Roman" w:hAnsi="Times New Roman" w:cs="Times New Roman"/>
          <w:sz w:val="24"/>
          <w:szCs w:val="24"/>
        </w:rPr>
        <w:t>над</w:t>
      </w:r>
      <w:r w:rsidR="00892FA7" w:rsidRPr="002C025E">
        <w:rPr>
          <w:rFonts w:ascii="Times New Roman" w:hAnsi="Times New Roman" w:cs="Times New Roman"/>
          <w:sz w:val="24"/>
          <w:szCs w:val="24"/>
        </w:rPr>
        <w:t xml:space="preserve"> выполнением мероприятий по обеспечению безопасности дорожного движения</w:t>
      </w:r>
      <w:r w:rsidRPr="002C025E">
        <w:rPr>
          <w:rFonts w:ascii="Times New Roman" w:hAnsi="Times New Roman" w:cs="Times New Roman"/>
          <w:sz w:val="24"/>
          <w:szCs w:val="24"/>
        </w:rPr>
        <w:t>;</w:t>
      </w:r>
    </w:p>
    <w:p w:rsidR="00346543" w:rsidRPr="002C025E" w:rsidRDefault="00346543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 xml:space="preserve">- </w:t>
      </w:r>
      <w:r w:rsidR="00892FA7" w:rsidRPr="002C025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1027C" w:rsidRPr="002C025E">
        <w:rPr>
          <w:rFonts w:ascii="Times New Roman" w:hAnsi="Times New Roman" w:cs="Times New Roman"/>
          <w:sz w:val="24"/>
          <w:szCs w:val="24"/>
        </w:rPr>
        <w:t>систем видео фиксации нарушений правил дорожного движения</w:t>
      </w:r>
      <w:r w:rsidRPr="002C025E">
        <w:rPr>
          <w:rFonts w:ascii="Times New Roman" w:hAnsi="Times New Roman" w:cs="Times New Roman"/>
          <w:sz w:val="24"/>
          <w:szCs w:val="24"/>
        </w:rPr>
        <w:t>;</w:t>
      </w:r>
    </w:p>
    <w:p w:rsidR="00346543" w:rsidRPr="002C025E" w:rsidRDefault="00346543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-</w:t>
      </w:r>
      <w:r w:rsidR="0061027C" w:rsidRPr="002C025E">
        <w:rPr>
          <w:rFonts w:ascii="Times New Roman" w:hAnsi="Times New Roman" w:cs="Times New Roman"/>
          <w:sz w:val="24"/>
          <w:szCs w:val="24"/>
        </w:rPr>
        <w:t xml:space="preserve"> развитие целевой системы воспитания и обучения детей безопасному поведению на улицах и дорогах</w:t>
      </w:r>
      <w:r w:rsidRPr="002C025E">
        <w:rPr>
          <w:rFonts w:ascii="Times New Roman" w:hAnsi="Times New Roman" w:cs="Times New Roman"/>
          <w:sz w:val="24"/>
          <w:szCs w:val="24"/>
        </w:rPr>
        <w:t>;</w:t>
      </w:r>
    </w:p>
    <w:p w:rsidR="00892FA7" w:rsidRPr="002C025E" w:rsidRDefault="00346543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-</w:t>
      </w:r>
      <w:r w:rsidR="0061027C" w:rsidRPr="002C025E">
        <w:rPr>
          <w:rFonts w:ascii="Times New Roman" w:hAnsi="Times New Roman" w:cs="Times New Roman"/>
          <w:sz w:val="24"/>
          <w:szCs w:val="24"/>
        </w:rPr>
        <w:t xml:space="preserve"> проведение разъяснительной и предупредительно-профилактической работы среди населения по вопросам обеспечения </w:t>
      </w:r>
      <w:r w:rsidRPr="002C025E">
        <w:rPr>
          <w:rFonts w:ascii="Times New Roman" w:hAnsi="Times New Roman" w:cs="Times New Roman"/>
          <w:sz w:val="24"/>
          <w:szCs w:val="24"/>
        </w:rPr>
        <w:t>безопасности дорожного движения с использованием СМИ.</w:t>
      </w:r>
    </w:p>
    <w:p w:rsidR="00346543" w:rsidRPr="002C025E" w:rsidRDefault="00346543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346543" w:rsidRPr="002C025E" w:rsidRDefault="00346543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 xml:space="preserve">В период действия Программы, не предполагается изменения </w:t>
      </w:r>
      <w:r w:rsidR="007A0A9C" w:rsidRPr="002C025E">
        <w:rPr>
          <w:rFonts w:ascii="Times New Roman" w:hAnsi="Times New Roman" w:cs="Times New Roman"/>
          <w:sz w:val="24"/>
          <w:szCs w:val="24"/>
        </w:rPr>
        <w:t>центров транспортного тяготения, структуры, предполагается незначительное изменение маршрутов и объемов грузовых и пассажирских перевозок</w:t>
      </w:r>
      <w:r w:rsidR="00544823" w:rsidRPr="002C025E">
        <w:rPr>
          <w:rFonts w:ascii="Times New Roman" w:hAnsi="Times New Roman" w:cs="Times New Roman"/>
          <w:sz w:val="24"/>
          <w:szCs w:val="24"/>
        </w:rPr>
        <w:t>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 воздействие шума на здоровье человека.</w:t>
      </w:r>
    </w:p>
    <w:p w:rsidR="00544823" w:rsidRPr="002C025E" w:rsidRDefault="00544823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4. Принципиальные варианты развития транспортной</w:t>
      </w:r>
      <w:r w:rsidR="003576CB" w:rsidRPr="002C025E">
        <w:rPr>
          <w:rFonts w:ascii="Times New Roman" w:hAnsi="Times New Roman" w:cs="Times New Roman"/>
          <w:sz w:val="24"/>
          <w:szCs w:val="24"/>
        </w:rPr>
        <w:t xml:space="preserve"> инфраструктуры и их укрупненная оценка</w:t>
      </w:r>
      <w:r w:rsidRPr="002C025E">
        <w:rPr>
          <w:rFonts w:ascii="Times New Roman" w:hAnsi="Times New Roman" w:cs="Times New Roman"/>
          <w:sz w:val="24"/>
          <w:szCs w:val="24"/>
        </w:rPr>
        <w:t xml:space="preserve"> по целевым показателям (индикаторам) развития транспортной инфраструктуры, с последующим выбором предлагаемого к реализации варианта.</w:t>
      </w:r>
    </w:p>
    <w:p w:rsidR="00544823" w:rsidRPr="002C025E" w:rsidRDefault="00544823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выполненных работ по содержанию, ремонту</w:t>
      </w:r>
      <w:r w:rsidR="007B3242" w:rsidRPr="002C025E">
        <w:rPr>
          <w:rFonts w:ascii="Times New Roman" w:hAnsi="Times New Roman" w:cs="Times New Roman"/>
          <w:sz w:val="24"/>
          <w:szCs w:val="24"/>
        </w:rPr>
        <w:t xml:space="preserve">, капитальному ремонту и зависит напрямую от объемов финансирования. В условиях, когда объем инвестиций в дорожный фонд является явно недостаточным, а рост уровня автомобилизации значительно опережает темпы роста </w:t>
      </w:r>
      <w:r w:rsidR="007B3242" w:rsidRPr="002C025E">
        <w:rPr>
          <w:rFonts w:ascii="Times New Roman" w:hAnsi="Times New Roman" w:cs="Times New Roman"/>
          <w:sz w:val="24"/>
          <w:szCs w:val="24"/>
        </w:rPr>
        <w:lastRenderedPageBreak/>
        <w:t>развития дорожной инфраструктуры на первый план выходят работы по содержанию и эксплуатации дорог. Поэтому в Программе выбирается вариант качественного</w:t>
      </w:r>
      <w:r w:rsidR="00541886" w:rsidRPr="002C025E">
        <w:rPr>
          <w:rFonts w:ascii="Times New Roman" w:hAnsi="Times New Roman" w:cs="Times New Roman"/>
          <w:sz w:val="24"/>
          <w:szCs w:val="24"/>
        </w:rPr>
        <w:t xml:space="preserve"> и своевременного</w:t>
      </w:r>
      <w:r w:rsidR="007B3242" w:rsidRPr="002C025E">
        <w:rPr>
          <w:rFonts w:ascii="Times New Roman" w:hAnsi="Times New Roman" w:cs="Times New Roman"/>
          <w:sz w:val="24"/>
          <w:szCs w:val="24"/>
        </w:rPr>
        <w:t xml:space="preserve"> содержания и капитального ремонта дорог.</w:t>
      </w:r>
    </w:p>
    <w:p w:rsidR="007B3242" w:rsidRPr="002C025E" w:rsidRDefault="007B3242" w:rsidP="00897D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5. Перечень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FA1003" w:rsidRPr="002C025E" w:rsidRDefault="00FA1003" w:rsidP="00FA10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 xml:space="preserve">5.1. Мероприятия по развитию транспортной инфраструктуры по видам транспорта, </w:t>
      </w:r>
      <w:r w:rsidR="005329DC">
        <w:rPr>
          <w:rFonts w:ascii="Times New Roman" w:hAnsi="Times New Roman" w:cs="Times New Roman"/>
          <w:sz w:val="24"/>
          <w:szCs w:val="24"/>
        </w:rPr>
        <w:t xml:space="preserve">по развитию </w:t>
      </w:r>
      <w:r w:rsidRPr="002C025E">
        <w:rPr>
          <w:rFonts w:ascii="Times New Roman" w:hAnsi="Times New Roman" w:cs="Times New Roman"/>
          <w:sz w:val="24"/>
          <w:szCs w:val="24"/>
        </w:rPr>
        <w:t>транспорта общего пользования, созданию транспортно-пересадочных узлов.</w:t>
      </w:r>
    </w:p>
    <w:p w:rsidR="00FA1003" w:rsidRPr="002C025E" w:rsidRDefault="004316CC" w:rsidP="00FA10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В связи со сложной экономической ситуацией данные мероприятия в Программе не планируются.</w:t>
      </w:r>
    </w:p>
    <w:p w:rsidR="004316CC" w:rsidRDefault="004316CC" w:rsidP="00FA10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 xml:space="preserve">5.2. Мероприятия по развитию пешеходного передвижения, мероприятия по развитию сети дорог поселения, мероприятия по повышению безопасности дорожного движения. </w:t>
      </w:r>
    </w:p>
    <w:p w:rsidR="005329DC" w:rsidRPr="002C025E" w:rsidRDefault="005329DC" w:rsidP="00FA10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определяются первоочередностью задач, направленных на повышение уровня состояния покрытия улично-дорожной сети поселения, обеспечивающее безопасность дорожного движения пешеходов.</w:t>
      </w:r>
    </w:p>
    <w:p w:rsidR="00C11F13" w:rsidRDefault="001E5438" w:rsidP="001E543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1F13" w:rsidSect="005806EA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C025E">
        <w:rPr>
          <w:rFonts w:ascii="Times New Roman" w:hAnsi="Times New Roman" w:cs="Times New Roman"/>
          <w:sz w:val="24"/>
          <w:szCs w:val="24"/>
        </w:rPr>
        <w:t>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год.</w:t>
      </w:r>
    </w:p>
    <w:p w:rsidR="00C11F13" w:rsidRPr="00EB02B3" w:rsidRDefault="00C11F13" w:rsidP="00C11F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02B3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C11F13" w:rsidRPr="00EB02B3" w:rsidRDefault="00C11F13" w:rsidP="00C11F1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B02B3">
        <w:rPr>
          <w:rFonts w:ascii="Times New Roman" w:hAnsi="Times New Roman" w:cs="Times New Roman"/>
          <w:sz w:val="24"/>
          <w:szCs w:val="24"/>
        </w:rPr>
        <w:t xml:space="preserve">мероприятий Программы комплексного развития транспортной инфраструктуры </w:t>
      </w:r>
      <w:proofErr w:type="spellStart"/>
      <w:r w:rsidRPr="00EB02B3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EB02B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tbl>
      <w:tblPr>
        <w:tblStyle w:val="a4"/>
        <w:tblW w:w="14657" w:type="dxa"/>
        <w:tblInd w:w="-176" w:type="dxa"/>
        <w:tblLook w:val="04A0"/>
      </w:tblPr>
      <w:tblGrid>
        <w:gridCol w:w="593"/>
        <w:gridCol w:w="5693"/>
        <w:gridCol w:w="995"/>
        <w:gridCol w:w="1121"/>
        <w:gridCol w:w="1110"/>
        <w:gridCol w:w="1173"/>
        <w:gridCol w:w="1114"/>
        <w:gridCol w:w="1252"/>
        <w:gridCol w:w="1606"/>
      </w:tblGrid>
      <w:tr w:rsidR="00D92B8C" w:rsidRPr="00EB02B3" w:rsidTr="00995A62">
        <w:tc>
          <w:tcPr>
            <w:tcW w:w="593" w:type="dxa"/>
            <w:vMerge w:val="restart"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B3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5693" w:type="dxa"/>
            <w:vMerge w:val="restart"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5513" w:type="dxa"/>
            <w:gridSpan w:val="5"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B3">
              <w:rPr>
                <w:rFonts w:ascii="Times New Roman" w:hAnsi="Times New Roman" w:cs="Times New Roman"/>
                <w:sz w:val="24"/>
                <w:szCs w:val="24"/>
              </w:rPr>
              <w:t>Год, сумма тыс. рублей</w:t>
            </w:r>
          </w:p>
        </w:tc>
        <w:tc>
          <w:tcPr>
            <w:tcW w:w="1252" w:type="dxa"/>
            <w:vMerge w:val="restart"/>
          </w:tcPr>
          <w:p w:rsidR="00D92B8C" w:rsidRPr="00EB02B3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2B3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Pr="00EB02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06" w:type="dxa"/>
            <w:vMerge w:val="restart"/>
          </w:tcPr>
          <w:p w:rsidR="00D92B8C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B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C">
              <w:rPr>
                <w:rFonts w:ascii="Times New Roman" w:hAnsi="Times New Roman" w:cs="Times New Roman"/>
                <w:sz w:val="24"/>
                <w:szCs w:val="24"/>
              </w:rPr>
              <w:t>+ планируются указанные мероприятия, объемы средств будут уточняться.</w:t>
            </w:r>
          </w:p>
        </w:tc>
      </w:tr>
      <w:tr w:rsidR="00D92B8C" w:rsidRPr="00EB02B3" w:rsidTr="00995A62">
        <w:tc>
          <w:tcPr>
            <w:tcW w:w="593" w:type="dxa"/>
            <w:vMerge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vMerge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B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21" w:type="dxa"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B3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10" w:type="dxa"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B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3" w:type="dxa"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14" w:type="dxa"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2B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52" w:type="dxa"/>
            <w:vMerge/>
          </w:tcPr>
          <w:p w:rsidR="00D92B8C" w:rsidRPr="00EB02B3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8C" w:rsidRPr="00EB02B3" w:rsidTr="00995A62">
        <w:tc>
          <w:tcPr>
            <w:tcW w:w="593" w:type="dxa"/>
          </w:tcPr>
          <w:p w:rsidR="00D92B8C" w:rsidRPr="009F3CF2" w:rsidRDefault="00D92B8C" w:rsidP="007620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3" w:type="dxa"/>
          </w:tcPr>
          <w:p w:rsidR="00D92B8C" w:rsidRPr="009F3CF2" w:rsidRDefault="00D92B8C" w:rsidP="004D7E6B">
            <w:pPr>
              <w:jc w:val="both"/>
              <w:rPr>
                <w:rFonts w:ascii="Times New Roman" w:eastAsia="Calibri" w:hAnsi="Times New Roman" w:cs="Times New Roman"/>
              </w:rPr>
            </w:pPr>
            <w:r w:rsidRPr="009F3CF2">
              <w:rPr>
                <w:rFonts w:ascii="Times New Roman" w:eastAsia="Calibri" w:hAnsi="Times New Roman" w:cs="Times New Roman"/>
              </w:rPr>
              <w:t>Содержание авто</w:t>
            </w:r>
            <w:r w:rsidRPr="009F3CF2">
              <w:rPr>
                <w:rFonts w:ascii="Times New Roman" w:eastAsia="Calibri" w:hAnsi="Times New Roman" w:cs="Times New Roman"/>
              </w:rPr>
              <w:softHyphen/>
              <w:t>мобильных дорог общего пользова</w:t>
            </w:r>
            <w:r w:rsidRPr="009F3CF2">
              <w:rPr>
                <w:rFonts w:ascii="Times New Roman" w:eastAsia="Calibri" w:hAnsi="Times New Roman" w:cs="Times New Roman"/>
              </w:rPr>
              <w:softHyphen/>
              <w:t>ния местного</w:t>
            </w:r>
            <w:r w:rsidRPr="009F3CF2">
              <w:rPr>
                <w:rFonts w:ascii="Times New Roman" w:hAnsi="Times New Roman" w:cs="Times New Roman"/>
              </w:rPr>
              <w:t xml:space="preserve"> значения </w:t>
            </w:r>
            <w:r w:rsidRPr="009F3CF2">
              <w:rPr>
                <w:rFonts w:ascii="Times New Roman" w:eastAsia="Calibri" w:hAnsi="Times New Roman" w:cs="Times New Roman"/>
              </w:rPr>
              <w:t xml:space="preserve"> и ис</w:t>
            </w:r>
            <w:r w:rsidRPr="009F3CF2">
              <w:rPr>
                <w:rFonts w:ascii="Times New Roman" w:eastAsia="Calibri" w:hAnsi="Times New Roman" w:cs="Times New Roman"/>
              </w:rPr>
              <w:softHyphen/>
              <w:t>кусственных со</w:t>
            </w:r>
            <w:r w:rsidRPr="009F3CF2">
              <w:rPr>
                <w:rFonts w:ascii="Times New Roman" w:eastAsia="Calibri" w:hAnsi="Times New Roman" w:cs="Times New Roman"/>
              </w:rPr>
              <w:softHyphen/>
              <w:t>оружений на них</w:t>
            </w:r>
          </w:p>
        </w:tc>
        <w:tc>
          <w:tcPr>
            <w:tcW w:w="995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2013,0</w:t>
            </w:r>
          </w:p>
        </w:tc>
        <w:tc>
          <w:tcPr>
            <w:tcW w:w="1121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2013,0</w:t>
            </w:r>
          </w:p>
        </w:tc>
        <w:tc>
          <w:tcPr>
            <w:tcW w:w="1110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2013,0</w:t>
            </w:r>
          </w:p>
        </w:tc>
        <w:tc>
          <w:tcPr>
            <w:tcW w:w="1173" w:type="dxa"/>
          </w:tcPr>
          <w:p w:rsidR="00D92B8C" w:rsidRPr="009F3CF2" w:rsidRDefault="00D92B8C" w:rsidP="00D92B8C">
            <w:pPr>
              <w:jc w:val="center"/>
            </w:pPr>
            <w:r w:rsidRPr="009F3CF2">
              <w:rPr>
                <w:rFonts w:ascii="Times New Roman" w:hAnsi="Times New Roman" w:cs="Times New Roman"/>
              </w:rPr>
              <w:t>2013,0</w:t>
            </w:r>
          </w:p>
        </w:tc>
        <w:tc>
          <w:tcPr>
            <w:tcW w:w="1114" w:type="dxa"/>
          </w:tcPr>
          <w:p w:rsidR="00D92B8C" w:rsidRPr="009F3CF2" w:rsidRDefault="00D92B8C" w:rsidP="00D92B8C">
            <w:pPr>
              <w:jc w:val="center"/>
            </w:pPr>
            <w:r w:rsidRPr="009F3CF2">
              <w:rPr>
                <w:rFonts w:ascii="Times New Roman" w:hAnsi="Times New Roman" w:cs="Times New Roman"/>
              </w:rPr>
              <w:t>2013,0</w:t>
            </w:r>
          </w:p>
        </w:tc>
        <w:tc>
          <w:tcPr>
            <w:tcW w:w="1252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6" w:type="dxa"/>
            <w:vMerge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8C" w:rsidRPr="00EB02B3" w:rsidTr="00995A62">
        <w:tc>
          <w:tcPr>
            <w:tcW w:w="593" w:type="dxa"/>
          </w:tcPr>
          <w:p w:rsidR="00D92B8C" w:rsidRPr="009F3CF2" w:rsidRDefault="00D92B8C" w:rsidP="007620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3" w:type="dxa"/>
          </w:tcPr>
          <w:p w:rsidR="00D92B8C" w:rsidRPr="009F3CF2" w:rsidRDefault="00D92B8C" w:rsidP="004D7E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 xml:space="preserve">Капитальный ремонт и ремонт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995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1128,0</w:t>
            </w:r>
          </w:p>
        </w:tc>
        <w:tc>
          <w:tcPr>
            <w:tcW w:w="1121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1128,0</w:t>
            </w:r>
          </w:p>
        </w:tc>
        <w:tc>
          <w:tcPr>
            <w:tcW w:w="1110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1128,0</w:t>
            </w:r>
          </w:p>
        </w:tc>
        <w:tc>
          <w:tcPr>
            <w:tcW w:w="1173" w:type="dxa"/>
          </w:tcPr>
          <w:p w:rsidR="00D92B8C" w:rsidRPr="009F3CF2" w:rsidRDefault="00D92B8C" w:rsidP="00D92B8C">
            <w:pPr>
              <w:jc w:val="center"/>
            </w:pPr>
            <w:r w:rsidRPr="009F3CF2">
              <w:rPr>
                <w:rFonts w:ascii="Times New Roman" w:hAnsi="Times New Roman" w:cs="Times New Roman"/>
              </w:rPr>
              <w:t>1128,0</w:t>
            </w:r>
          </w:p>
        </w:tc>
        <w:tc>
          <w:tcPr>
            <w:tcW w:w="1114" w:type="dxa"/>
          </w:tcPr>
          <w:p w:rsidR="00D92B8C" w:rsidRPr="009F3CF2" w:rsidRDefault="00D92B8C" w:rsidP="00D92B8C">
            <w:pPr>
              <w:jc w:val="center"/>
            </w:pPr>
            <w:r w:rsidRPr="009F3CF2">
              <w:rPr>
                <w:rFonts w:ascii="Times New Roman" w:hAnsi="Times New Roman" w:cs="Times New Roman"/>
              </w:rPr>
              <w:t>1128,0</w:t>
            </w:r>
          </w:p>
        </w:tc>
        <w:tc>
          <w:tcPr>
            <w:tcW w:w="1252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6" w:type="dxa"/>
            <w:vMerge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8C" w:rsidRPr="00EB02B3" w:rsidTr="00995A62">
        <w:tc>
          <w:tcPr>
            <w:tcW w:w="593" w:type="dxa"/>
          </w:tcPr>
          <w:p w:rsidR="00D92B8C" w:rsidRPr="009F3CF2" w:rsidRDefault="00D92B8C" w:rsidP="007620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3" w:type="dxa"/>
          </w:tcPr>
          <w:p w:rsidR="00D92B8C" w:rsidRPr="009F3CF2" w:rsidRDefault="00D92B8C" w:rsidP="004D7E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Обустройство автомобильных дорог общего пользования местного значения в целях повышения безопасности дорожного движения (установка дорожных знаков, искусственных неровностей, освещение) (в том числе ПСД)</w:t>
            </w:r>
          </w:p>
        </w:tc>
        <w:tc>
          <w:tcPr>
            <w:tcW w:w="995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1500,0</w:t>
            </w:r>
          </w:p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6" w:type="dxa"/>
            <w:vMerge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8C" w:rsidRPr="00EB02B3" w:rsidTr="00995A62">
        <w:tc>
          <w:tcPr>
            <w:tcW w:w="593" w:type="dxa"/>
          </w:tcPr>
          <w:p w:rsidR="00D92B8C" w:rsidRPr="009F3CF2" w:rsidRDefault="00D92B8C" w:rsidP="007620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3" w:type="dxa"/>
          </w:tcPr>
          <w:p w:rsidR="00D92B8C" w:rsidRPr="009F3CF2" w:rsidRDefault="00D92B8C" w:rsidP="004D7E6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Ремонт  и установка остановочных комплексов с благоустройством прилегающей территории (в том числе ПСД)</w:t>
            </w:r>
          </w:p>
        </w:tc>
        <w:tc>
          <w:tcPr>
            <w:tcW w:w="995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2000,0</w:t>
            </w:r>
          </w:p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D92B8C" w:rsidRPr="009F3CF2" w:rsidRDefault="00D92B8C" w:rsidP="00D92B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6" w:type="dxa"/>
            <w:vMerge/>
          </w:tcPr>
          <w:p w:rsidR="00D92B8C" w:rsidRPr="00EB02B3" w:rsidRDefault="00D92B8C" w:rsidP="00B464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62" w:rsidRPr="00EB02B3" w:rsidTr="00995A62">
        <w:tc>
          <w:tcPr>
            <w:tcW w:w="593" w:type="dxa"/>
          </w:tcPr>
          <w:p w:rsidR="00995A62" w:rsidRPr="009F3CF2" w:rsidRDefault="00995A62" w:rsidP="0076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3" w:type="dxa"/>
          </w:tcPr>
          <w:p w:rsidR="00995A62" w:rsidRPr="009F3CF2" w:rsidRDefault="00995A62" w:rsidP="0076207E">
            <w:pPr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Асфальтирование  автомобильной дороги, расположенной  по  ул. Ленина (в том числе ПСД)</w:t>
            </w:r>
          </w:p>
        </w:tc>
        <w:tc>
          <w:tcPr>
            <w:tcW w:w="995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6236,6</w:t>
            </w:r>
          </w:p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95A62" w:rsidRPr="009F3CF2" w:rsidRDefault="00995A62" w:rsidP="000323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6" w:type="dxa"/>
            <w:vMerge/>
          </w:tcPr>
          <w:p w:rsidR="00995A62" w:rsidRPr="00EB02B3" w:rsidRDefault="00995A62" w:rsidP="00B4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62" w:rsidRPr="00847DAA" w:rsidTr="00995A62">
        <w:tc>
          <w:tcPr>
            <w:tcW w:w="593" w:type="dxa"/>
          </w:tcPr>
          <w:p w:rsidR="00995A62" w:rsidRPr="009F3CF2" w:rsidRDefault="00995A62" w:rsidP="0076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3" w:type="dxa"/>
          </w:tcPr>
          <w:p w:rsidR="00995A62" w:rsidRPr="009F3CF2" w:rsidRDefault="00995A62" w:rsidP="0076207E">
            <w:pPr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 xml:space="preserve">Асфальтирование  автомобильной дороги, расположенной  по ул. </w:t>
            </w:r>
            <w:proofErr w:type="spellStart"/>
            <w:r w:rsidRPr="009F3CF2">
              <w:rPr>
                <w:rFonts w:ascii="Times New Roman" w:hAnsi="Times New Roman" w:cs="Times New Roman"/>
              </w:rPr>
              <w:t>Порожская</w:t>
            </w:r>
            <w:proofErr w:type="spellEnd"/>
            <w:r w:rsidRPr="009F3CF2">
              <w:rPr>
                <w:rFonts w:ascii="Times New Roman" w:hAnsi="Times New Roman" w:cs="Times New Roman"/>
              </w:rPr>
              <w:t xml:space="preserve"> (в том числе ПСД)</w:t>
            </w:r>
          </w:p>
        </w:tc>
        <w:tc>
          <w:tcPr>
            <w:tcW w:w="995" w:type="dxa"/>
          </w:tcPr>
          <w:p w:rsidR="00995A62" w:rsidRPr="009F3CF2" w:rsidRDefault="00995A62" w:rsidP="00D92B8C">
            <w:pPr>
              <w:jc w:val="center"/>
            </w:pPr>
          </w:p>
        </w:tc>
        <w:tc>
          <w:tcPr>
            <w:tcW w:w="1121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6236,6</w:t>
            </w:r>
          </w:p>
        </w:tc>
        <w:tc>
          <w:tcPr>
            <w:tcW w:w="1110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95A62" w:rsidRPr="009F3CF2" w:rsidRDefault="00995A62" w:rsidP="000323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6" w:type="dxa"/>
            <w:vMerge/>
          </w:tcPr>
          <w:p w:rsidR="00995A62" w:rsidRPr="00847DAA" w:rsidRDefault="00995A62" w:rsidP="00B4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62" w:rsidRPr="00847DAA" w:rsidTr="00995A62">
        <w:tc>
          <w:tcPr>
            <w:tcW w:w="593" w:type="dxa"/>
          </w:tcPr>
          <w:p w:rsidR="00995A62" w:rsidRPr="009F3CF2" w:rsidRDefault="00995A62" w:rsidP="0076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3" w:type="dxa"/>
          </w:tcPr>
          <w:p w:rsidR="00995A62" w:rsidRPr="009F3CF2" w:rsidRDefault="00995A62" w:rsidP="0076207E">
            <w:pPr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Асфальтирование  автомобильной дороги, расположенной  по ул. Степана Разина (в том числе ПСД)</w:t>
            </w:r>
          </w:p>
        </w:tc>
        <w:tc>
          <w:tcPr>
            <w:tcW w:w="995" w:type="dxa"/>
          </w:tcPr>
          <w:p w:rsidR="00995A62" w:rsidRPr="009F3CF2" w:rsidRDefault="00995A62" w:rsidP="00D92B8C">
            <w:pPr>
              <w:jc w:val="center"/>
            </w:pPr>
          </w:p>
        </w:tc>
        <w:tc>
          <w:tcPr>
            <w:tcW w:w="1121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6 236,6</w:t>
            </w:r>
          </w:p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95A62" w:rsidRPr="009F3CF2" w:rsidRDefault="00995A62" w:rsidP="000323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6" w:type="dxa"/>
            <w:vMerge/>
          </w:tcPr>
          <w:p w:rsidR="00995A62" w:rsidRPr="00847DAA" w:rsidRDefault="00995A62" w:rsidP="00B4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62" w:rsidRPr="00847DAA" w:rsidTr="00995A62">
        <w:tc>
          <w:tcPr>
            <w:tcW w:w="593" w:type="dxa"/>
          </w:tcPr>
          <w:p w:rsidR="00995A62" w:rsidRPr="009F3CF2" w:rsidRDefault="00995A62" w:rsidP="0076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3" w:type="dxa"/>
          </w:tcPr>
          <w:p w:rsidR="00995A62" w:rsidRPr="009F3CF2" w:rsidRDefault="00995A62" w:rsidP="0076207E">
            <w:pPr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 xml:space="preserve">Асфальтирование  автомобильной дороги, расположенной  по ул. </w:t>
            </w:r>
            <w:proofErr w:type="gramStart"/>
            <w:r w:rsidRPr="009F3CF2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9F3CF2">
              <w:rPr>
                <w:rFonts w:ascii="Times New Roman" w:hAnsi="Times New Roman" w:cs="Times New Roman"/>
              </w:rPr>
              <w:t xml:space="preserve"> (в том числе ПСД)</w:t>
            </w:r>
          </w:p>
        </w:tc>
        <w:tc>
          <w:tcPr>
            <w:tcW w:w="995" w:type="dxa"/>
          </w:tcPr>
          <w:p w:rsidR="00995A62" w:rsidRPr="009F3CF2" w:rsidRDefault="00995A62" w:rsidP="00D92B8C">
            <w:pPr>
              <w:jc w:val="center"/>
            </w:pPr>
          </w:p>
        </w:tc>
        <w:tc>
          <w:tcPr>
            <w:tcW w:w="1121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6 236,6</w:t>
            </w:r>
          </w:p>
        </w:tc>
        <w:tc>
          <w:tcPr>
            <w:tcW w:w="1114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95A62" w:rsidRPr="009F3CF2" w:rsidRDefault="00995A62" w:rsidP="000323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6" w:type="dxa"/>
            <w:vMerge/>
          </w:tcPr>
          <w:p w:rsidR="00995A62" w:rsidRPr="00847DAA" w:rsidRDefault="00995A62" w:rsidP="00B4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62" w:rsidRPr="00847DAA" w:rsidTr="00995A62">
        <w:tc>
          <w:tcPr>
            <w:tcW w:w="593" w:type="dxa"/>
          </w:tcPr>
          <w:p w:rsidR="00995A62" w:rsidRPr="009F3CF2" w:rsidRDefault="00995A62" w:rsidP="0076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3" w:type="dxa"/>
          </w:tcPr>
          <w:p w:rsidR="00995A62" w:rsidRPr="009F3CF2" w:rsidRDefault="00995A62" w:rsidP="0076207E">
            <w:pPr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Асфальтирование автомобильных дорог, ведущих к христианскому и мусульманскому кладбищам (в том числе ПСД)</w:t>
            </w:r>
          </w:p>
        </w:tc>
        <w:tc>
          <w:tcPr>
            <w:tcW w:w="995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10000,0</w:t>
            </w:r>
          </w:p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95A62" w:rsidRPr="009F3CF2" w:rsidRDefault="00995A62" w:rsidP="000323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6" w:type="dxa"/>
            <w:vMerge/>
          </w:tcPr>
          <w:p w:rsidR="00995A62" w:rsidRPr="00847DAA" w:rsidRDefault="00995A62" w:rsidP="00B4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A62" w:rsidRPr="00847DAA" w:rsidTr="00995A62">
        <w:tc>
          <w:tcPr>
            <w:tcW w:w="593" w:type="dxa"/>
          </w:tcPr>
          <w:p w:rsidR="00995A62" w:rsidRPr="009F3CF2" w:rsidRDefault="00995A62" w:rsidP="0076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3" w:type="dxa"/>
          </w:tcPr>
          <w:p w:rsidR="00995A62" w:rsidRPr="009F3CF2" w:rsidRDefault="00995A62" w:rsidP="0076207E">
            <w:pPr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Устройство тротуаров по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3CF2">
              <w:rPr>
                <w:rFonts w:ascii="Times New Roman" w:hAnsi="Times New Roman" w:cs="Times New Roman"/>
              </w:rPr>
              <w:t>Красноармейская, ул</w:t>
            </w:r>
            <w:proofErr w:type="gramStart"/>
            <w:r w:rsidRPr="009F3CF2">
              <w:rPr>
                <w:rFonts w:ascii="Times New Roman" w:hAnsi="Times New Roman" w:cs="Times New Roman"/>
              </w:rPr>
              <w:t>.П</w:t>
            </w:r>
            <w:proofErr w:type="gramEnd"/>
            <w:r w:rsidRPr="009F3CF2">
              <w:rPr>
                <w:rFonts w:ascii="Times New Roman" w:hAnsi="Times New Roman" w:cs="Times New Roman"/>
              </w:rPr>
              <w:t>ривокзальная (в том числе ПСД)</w:t>
            </w:r>
          </w:p>
        </w:tc>
        <w:tc>
          <w:tcPr>
            <w:tcW w:w="995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  <w:r w:rsidRPr="009F3CF2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10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:rsidR="00995A62" w:rsidRPr="009F3CF2" w:rsidRDefault="00995A62" w:rsidP="00D92B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</w:tcPr>
          <w:p w:rsidR="00995A62" w:rsidRPr="009F3CF2" w:rsidRDefault="00995A62" w:rsidP="000323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CF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606" w:type="dxa"/>
            <w:vMerge/>
          </w:tcPr>
          <w:p w:rsidR="00995A62" w:rsidRPr="00847DAA" w:rsidRDefault="00995A62" w:rsidP="00B4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F13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11F13" w:rsidSect="006A36A6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C11F13" w:rsidRPr="002C025E" w:rsidRDefault="00C11F1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lastRenderedPageBreak/>
        <w:t>6.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C11F13" w:rsidRPr="002C025E" w:rsidRDefault="00EB02B3" w:rsidP="00C11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Основными источниками финансирования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5E">
        <w:rPr>
          <w:rFonts w:ascii="Times New Roman" w:hAnsi="Times New Roman" w:cs="Times New Roman"/>
          <w:sz w:val="24"/>
          <w:szCs w:val="24"/>
        </w:rPr>
        <w:t>будут являться субсидии из областного бюджета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025E">
        <w:rPr>
          <w:rFonts w:ascii="Times New Roman" w:hAnsi="Times New Roman" w:cs="Times New Roman"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Pr="002C025E">
        <w:rPr>
          <w:rFonts w:ascii="Times New Roman" w:hAnsi="Times New Roman" w:cs="Times New Roman"/>
          <w:sz w:val="24"/>
          <w:szCs w:val="24"/>
        </w:rPr>
        <w:t>, а так же средства дорожного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F13" w:rsidRPr="00EB02B3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C11F13" w:rsidRPr="00EB02B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C11F13" w:rsidRPr="002C025E">
        <w:rPr>
          <w:rFonts w:ascii="Times New Roman" w:hAnsi="Times New Roman" w:cs="Times New Roman"/>
          <w:sz w:val="24"/>
          <w:szCs w:val="24"/>
        </w:rPr>
        <w:t>.</w:t>
      </w:r>
    </w:p>
    <w:p w:rsidR="00C11F13" w:rsidRPr="002C025E" w:rsidRDefault="00C11F13" w:rsidP="001166B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7. Оценка эффективности мероприятий (инвестиционных проектов) по проектированию, строительству, реконструкции объектов транспортной инфраструктуры.</w:t>
      </w:r>
    </w:p>
    <w:p w:rsidR="0021342E" w:rsidRPr="002C025E" w:rsidRDefault="00C11F13" w:rsidP="009F3C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25E">
        <w:rPr>
          <w:rFonts w:ascii="Times New Roman" w:hAnsi="Times New Roman" w:cs="Times New Roman"/>
          <w:sz w:val="24"/>
          <w:szCs w:val="24"/>
        </w:rPr>
        <w:t>При эффективном выполнении мероприятий, включенных в Программу, увеличится протяженность дорог, соответствующая нормативным требованиям, повысится бе</w:t>
      </w:r>
      <w:r w:rsidR="001166B0">
        <w:rPr>
          <w:rFonts w:ascii="Times New Roman" w:hAnsi="Times New Roman" w:cs="Times New Roman"/>
          <w:sz w:val="24"/>
          <w:szCs w:val="24"/>
        </w:rPr>
        <w:t>зопасность дорожного движения.</w:t>
      </w:r>
    </w:p>
    <w:sectPr w:rsidR="0021342E" w:rsidRPr="002C025E" w:rsidSect="00C11F13">
      <w:pgSz w:w="11906" w:h="16838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14" w:rsidRDefault="00782514" w:rsidP="002C025E">
      <w:pPr>
        <w:spacing w:after="0" w:line="240" w:lineRule="auto"/>
      </w:pPr>
      <w:r>
        <w:separator/>
      </w:r>
    </w:p>
  </w:endnote>
  <w:endnote w:type="continuationSeparator" w:id="0">
    <w:p w:rsidR="00782514" w:rsidRDefault="00782514" w:rsidP="002C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14" w:rsidRDefault="00782514" w:rsidP="002C025E">
      <w:pPr>
        <w:spacing w:after="0" w:line="240" w:lineRule="auto"/>
      </w:pPr>
      <w:r>
        <w:separator/>
      </w:r>
    </w:p>
  </w:footnote>
  <w:footnote w:type="continuationSeparator" w:id="0">
    <w:p w:rsidR="00782514" w:rsidRDefault="00782514" w:rsidP="002C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7813287"/>
    </w:sdtPr>
    <w:sdtEndPr>
      <w:rPr>
        <w:rFonts w:ascii="Times New Roman" w:hAnsi="Times New Roman" w:cs="Times New Roman"/>
      </w:rPr>
    </w:sdtEndPr>
    <w:sdtContent>
      <w:p w:rsidR="005806EA" w:rsidRPr="00302ED8" w:rsidRDefault="005C441C">
        <w:pPr>
          <w:pStyle w:val="a8"/>
          <w:jc w:val="center"/>
          <w:rPr>
            <w:rFonts w:ascii="Times New Roman" w:hAnsi="Times New Roman" w:cs="Times New Roman"/>
          </w:rPr>
        </w:pPr>
        <w:r w:rsidRPr="00302ED8">
          <w:rPr>
            <w:rFonts w:ascii="Times New Roman" w:hAnsi="Times New Roman" w:cs="Times New Roman"/>
          </w:rPr>
          <w:fldChar w:fldCharType="begin"/>
        </w:r>
        <w:r w:rsidR="005806EA" w:rsidRPr="00302ED8">
          <w:rPr>
            <w:rFonts w:ascii="Times New Roman" w:hAnsi="Times New Roman" w:cs="Times New Roman"/>
          </w:rPr>
          <w:instrText>PAGE   \* MERGEFORMAT</w:instrText>
        </w:r>
        <w:r w:rsidRPr="00302ED8">
          <w:rPr>
            <w:rFonts w:ascii="Times New Roman" w:hAnsi="Times New Roman" w:cs="Times New Roman"/>
          </w:rPr>
          <w:fldChar w:fldCharType="separate"/>
        </w:r>
        <w:r w:rsidR="00995A62">
          <w:rPr>
            <w:rFonts w:ascii="Times New Roman" w:hAnsi="Times New Roman" w:cs="Times New Roman"/>
            <w:noProof/>
          </w:rPr>
          <w:t>12</w:t>
        </w:r>
        <w:r w:rsidRPr="00302ED8">
          <w:rPr>
            <w:rFonts w:ascii="Times New Roman" w:hAnsi="Times New Roman" w:cs="Times New Roman"/>
          </w:rPr>
          <w:fldChar w:fldCharType="end"/>
        </w:r>
      </w:p>
    </w:sdtContent>
  </w:sdt>
  <w:p w:rsidR="005806EA" w:rsidRDefault="005806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DD6"/>
    <w:multiLevelType w:val="hybridMultilevel"/>
    <w:tmpl w:val="8D4405B0"/>
    <w:lvl w:ilvl="0" w:tplc="740688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937DA4"/>
    <w:multiLevelType w:val="multilevel"/>
    <w:tmpl w:val="B4EAE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0FDA4E4C"/>
    <w:multiLevelType w:val="multilevel"/>
    <w:tmpl w:val="17D81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4D572C7"/>
    <w:multiLevelType w:val="hybridMultilevel"/>
    <w:tmpl w:val="57FA6D2C"/>
    <w:lvl w:ilvl="0" w:tplc="95E295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96502D"/>
    <w:multiLevelType w:val="hybridMultilevel"/>
    <w:tmpl w:val="942E3F4E"/>
    <w:lvl w:ilvl="0" w:tplc="B43872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2B1413"/>
    <w:multiLevelType w:val="hybridMultilevel"/>
    <w:tmpl w:val="75F82A0A"/>
    <w:lvl w:ilvl="0" w:tplc="37D694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24341C5"/>
    <w:multiLevelType w:val="multilevel"/>
    <w:tmpl w:val="EDFA42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929"/>
    <w:rsid w:val="000052C5"/>
    <w:rsid w:val="00010810"/>
    <w:rsid w:val="0001294C"/>
    <w:rsid w:val="0002122F"/>
    <w:rsid w:val="00026EA8"/>
    <w:rsid w:val="00046D08"/>
    <w:rsid w:val="000555E9"/>
    <w:rsid w:val="00081CC3"/>
    <w:rsid w:val="000957DF"/>
    <w:rsid w:val="000B3679"/>
    <w:rsid w:val="000D2105"/>
    <w:rsid w:val="000E7B48"/>
    <w:rsid w:val="000F617B"/>
    <w:rsid w:val="00102F8A"/>
    <w:rsid w:val="001166B0"/>
    <w:rsid w:val="00116CD3"/>
    <w:rsid w:val="001245D9"/>
    <w:rsid w:val="0013341E"/>
    <w:rsid w:val="00133ECE"/>
    <w:rsid w:val="001404B8"/>
    <w:rsid w:val="0015646A"/>
    <w:rsid w:val="00162AA3"/>
    <w:rsid w:val="00170D24"/>
    <w:rsid w:val="00182F0A"/>
    <w:rsid w:val="00186964"/>
    <w:rsid w:val="001876D6"/>
    <w:rsid w:val="001B00F4"/>
    <w:rsid w:val="001B16B3"/>
    <w:rsid w:val="001B5F55"/>
    <w:rsid w:val="001D0481"/>
    <w:rsid w:val="001D1057"/>
    <w:rsid w:val="001D4F92"/>
    <w:rsid w:val="001E5438"/>
    <w:rsid w:val="00203FE1"/>
    <w:rsid w:val="00206154"/>
    <w:rsid w:val="00207AFA"/>
    <w:rsid w:val="0021342E"/>
    <w:rsid w:val="002166A2"/>
    <w:rsid w:val="00216C7D"/>
    <w:rsid w:val="00222207"/>
    <w:rsid w:val="00231B2C"/>
    <w:rsid w:val="00236429"/>
    <w:rsid w:val="00242BFF"/>
    <w:rsid w:val="002754EF"/>
    <w:rsid w:val="002905C5"/>
    <w:rsid w:val="00290929"/>
    <w:rsid w:val="002B0321"/>
    <w:rsid w:val="002B7BE5"/>
    <w:rsid w:val="002C025E"/>
    <w:rsid w:val="002D255C"/>
    <w:rsid w:val="002E1CF9"/>
    <w:rsid w:val="002F653B"/>
    <w:rsid w:val="003007AA"/>
    <w:rsid w:val="00300819"/>
    <w:rsid w:val="00302ED8"/>
    <w:rsid w:val="003047D0"/>
    <w:rsid w:val="00304A02"/>
    <w:rsid w:val="00323176"/>
    <w:rsid w:val="00330991"/>
    <w:rsid w:val="00343C0F"/>
    <w:rsid w:val="00346543"/>
    <w:rsid w:val="003576CB"/>
    <w:rsid w:val="00357EDB"/>
    <w:rsid w:val="003718C5"/>
    <w:rsid w:val="00394301"/>
    <w:rsid w:val="003A39B0"/>
    <w:rsid w:val="003E4AB8"/>
    <w:rsid w:val="003E78DE"/>
    <w:rsid w:val="00407514"/>
    <w:rsid w:val="004316CC"/>
    <w:rsid w:val="00440BF0"/>
    <w:rsid w:val="00443651"/>
    <w:rsid w:val="00456325"/>
    <w:rsid w:val="004850BC"/>
    <w:rsid w:val="00491E5D"/>
    <w:rsid w:val="004A1014"/>
    <w:rsid w:val="004A114C"/>
    <w:rsid w:val="004A3FB1"/>
    <w:rsid w:val="004A5FB4"/>
    <w:rsid w:val="004B49DF"/>
    <w:rsid w:val="004D7E6B"/>
    <w:rsid w:val="004E0BA4"/>
    <w:rsid w:val="004E6850"/>
    <w:rsid w:val="004F18E1"/>
    <w:rsid w:val="00522ED3"/>
    <w:rsid w:val="00530094"/>
    <w:rsid w:val="005329DC"/>
    <w:rsid w:val="00541886"/>
    <w:rsid w:val="0054264A"/>
    <w:rsid w:val="00544823"/>
    <w:rsid w:val="005618D3"/>
    <w:rsid w:val="00572241"/>
    <w:rsid w:val="005806EA"/>
    <w:rsid w:val="00595E72"/>
    <w:rsid w:val="005A098A"/>
    <w:rsid w:val="005A1135"/>
    <w:rsid w:val="005B20C7"/>
    <w:rsid w:val="005B4EEC"/>
    <w:rsid w:val="005C441C"/>
    <w:rsid w:val="005F3FEF"/>
    <w:rsid w:val="00604B3B"/>
    <w:rsid w:val="0061027C"/>
    <w:rsid w:val="006114B0"/>
    <w:rsid w:val="00613F51"/>
    <w:rsid w:val="00614F80"/>
    <w:rsid w:val="00616274"/>
    <w:rsid w:val="00630E4B"/>
    <w:rsid w:val="0063141E"/>
    <w:rsid w:val="00635EF1"/>
    <w:rsid w:val="0064383C"/>
    <w:rsid w:val="00657E5B"/>
    <w:rsid w:val="00662A46"/>
    <w:rsid w:val="0066606D"/>
    <w:rsid w:val="00666FCF"/>
    <w:rsid w:val="00672D4B"/>
    <w:rsid w:val="00674317"/>
    <w:rsid w:val="0068746E"/>
    <w:rsid w:val="006971E3"/>
    <w:rsid w:val="006B6817"/>
    <w:rsid w:val="006B6F1A"/>
    <w:rsid w:val="006C3822"/>
    <w:rsid w:val="006D1A40"/>
    <w:rsid w:val="006E0701"/>
    <w:rsid w:val="00704169"/>
    <w:rsid w:val="00716F94"/>
    <w:rsid w:val="00737B44"/>
    <w:rsid w:val="00746498"/>
    <w:rsid w:val="00751D1C"/>
    <w:rsid w:val="00757C7E"/>
    <w:rsid w:val="00761A94"/>
    <w:rsid w:val="00773E97"/>
    <w:rsid w:val="00782514"/>
    <w:rsid w:val="00783D37"/>
    <w:rsid w:val="007A0A9C"/>
    <w:rsid w:val="007A1B08"/>
    <w:rsid w:val="007A265E"/>
    <w:rsid w:val="007A6370"/>
    <w:rsid w:val="007B2EC2"/>
    <w:rsid w:val="007B3242"/>
    <w:rsid w:val="007C0B52"/>
    <w:rsid w:val="00805BB5"/>
    <w:rsid w:val="00814CDD"/>
    <w:rsid w:val="00817E70"/>
    <w:rsid w:val="00826DA6"/>
    <w:rsid w:val="00861754"/>
    <w:rsid w:val="00873F04"/>
    <w:rsid w:val="008777D5"/>
    <w:rsid w:val="00892FA7"/>
    <w:rsid w:val="00897D6F"/>
    <w:rsid w:val="008A7A20"/>
    <w:rsid w:val="008C6654"/>
    <w:rsid w:val="008F2F8C"/>
    <w:rsid w:val="00900E4F"/>
    <w:rsid w:val="00916015"/>
    <w:rsid w:val="0092088F"/>
    <w:rsid w:val="009243EA"/>
    <w:rsid w:val="00933761"/>
    <w:rsid w:val="00944205"/>
    <w:rsid w:val="00946D42"/>
    <w:rsid w:val="00957013"/>
    <w:rsid w:val="0096574F"/>
    <w:rsid w:val="00977561"/>
    <w:rsid w:val="00982F1A"/>
    <w:rsid w:val="00985377"/>
    <w:rsid w:val="00991974"/>
    <w:rsid w:val="00993E66"/>
    <w:rsid w:val="00995A62"/>
    <w:rsid w:val="009A0AAA"/>
    <w:rsid w:val="009A5907"/>
    <w:rsid w:val="009A776F"/>
    <w:rsid w:val="009B0CA9"/>
    <w:rsid w:val="009C211C"/>
    <w:rsid w:val="009D19A1"/>
    <w:rsid w:val="009F3CF2"/>
    <w:rsid w:val="00A00D68"/>
    <w:rsid w:val="00A216FE"/>
    <w:rsid w:val="00A60292"/>
    <w:rsid w:val="00A71404"/>
    <w:rsid w:val="00A83215"/>
    <w:rsid w:val="00A921DA"/>
    <w:rsid w:val="00A9733A"/>
    <w:rsid w:val="00AA7C50"/>
    <w:rsid w:val="00AE078E"/>
    <w:rsid w:val="00AE25B5"/>
    <w:rsid w:val="00AF5DA5"/>
    <w:rsid w:val="00AF78BE"/>
    <w:rsid w:val="00B00537"/>
    <w:rsid w:val="00B072D5"/>
    <w:rsid w:val="00B12227"/>
    <w:rsid w:val="00B14B2B"/>
    <w:rsid w:val="00B22178"/>
    <w:rsid w:val="00B4153E"/>
    <w:rsid w:val="00B66C5A"/>
    <w:rsid w:val="00B93CC8"/>
    <w:rsid w:val="00B9628F"/>
    <w:rsid w:val="00BA39C0"/>
    <w:rsid w:val="00BB5659"/>
    <w:rsid w:val="00BD668B"/>
    <w:rsid w:val="00BE333C"/>
    <w:rsid w:val="00C11CBC"/>
    <w:rsid w:val="00C11F13"/>
    <w:rsid w:val="00C16C4F"/>
    <w:rsid w:val="00C33955"/>
    <w:rsid w:val="00C34FDF"/>
    <w:rsid w:val="00C37F98"/>
    <w:rsid w:val="00C5390C"/>
    <w:rsid w:val="00C7511E"/>
    <w:rsid w:val="00CA1CF5"/>
    <w:rsid w:val="00CA7A27"/>
    <w:rsid w:val="00CB3260"/>
    <w:rsid w:val="00CB3AA0"/>
    <w:rsid w:val="00CB3EE6"/>
    <w:rsid w:val="00CB7328"/>
    <w:rsid w:val="00CD178B"/>
    <w:rsid w:val="00CD4D28"/>
    <w:rsid w:val="00CD5C7B"/>
    <w:rsid w:val="00CF2CD0"/>
    <w:rsid w:val="00CF6C01"/>
    <w:rsid w:val="00D14435"/>
    <w:rsid w:val="00D3058D"/>
    <w:rsid w:val="00D32182"/>
    <w:rsid w:val="00D54C83"/>
    <w:rsid w:val="00D81861"/>
    <w:rsid w:val="00D92B8C"/>
    <w:rsid w:val="00D931F3"/>
    <w:rsid w:val="00DA2E86"/>
    <w:rsid w:val="00DB3B53"/>
    <w:rsid w:val="00DC1D00"/>
    <w:rsid w:val="00DF6372"/>
    <w:rsid w:val="00E30C1C"/>
    <w:rsid w:val="00E4407E"/>
    <w:rsid w:val="00E44880"/>
    <w:rsid w:val="00E6575B"/>
    <w:rsid w:val="00E6592F"/>
    <w:rsid w:val="00E837BF"/>
    <w:rsid w:val="00E9363D"/>
    <w:rsid w:val="00EA7854"/>
    <w:rsid w:val="00EB02B3"/>
    <w:rsid w:val="00EB4F7E"/>
    <w:rsid w:val="00EF52DE"/>
    <w:rsid w:val="00EF5CF4"/>
    <w:rsid w:val="00F15460"/>
    <w:rsid w:val="00F224AA"/>
    <w:rsid w:val="00F25538"/>
    <w:rsid w:val="00F37B92"/>
    <w:rsid w:val="00F424DF"/>
    <w:rsid w:val="00F4521B"/>
    <w:rsid w:val="00F71392"/>
    <w:rsid w:val="00FA1003"/>
    <w:rsid w:val="00FA6D5C"/>
    <w:rsid w:val="00FE0238"/>
    <w:rsid w:val="00FE3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97"/>
    <w:pPr>
      <w:ind w:left="720"/>
      <w:contextualSpacing/>
    </w:pPr>
  </w:style>
  <w:style w:type="table" w:styleId="a4">
    <w:name w:val="Table Grid"/>
    <w:basedOn w:val="a1"/>
    <w:uiPriority w:val="59"/>
    <w:rsid w:val="0053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A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5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025E"/>
  </w:style>
  <w:style w:type="paragraph" w:styleId="aa">
    <w:name w:val="footer"/>
    <w:basedOn w:val="a"/>
    <w:link w:val="ab"/>
    <w:uiPriority w:val="99"/>
    <w:unhideWhenUsed/>
    <w:rsid w:val="002C0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0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E97"/>
    <w:pPr>
      <w:ind w:left="720"/>
      <w:contextualSpacing/>
    </w:pPr>
  </w:style>
  <w:style w:type="table" w:styleId="a4">
    <w:name w:val="Table Grid"/>
    <w:basedOn w:val="a1"/>
    <w:uiPriority w:val="59"/>
    <w:rsid w:val="0053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A4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57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1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CF911-53A9-43A7-9ADF-257EA89D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12</Pages>
  <Words>2938</Words>
  <Characters>16749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АдБердяуш02</cp:lastModifiedBy>
  <cp:revision>57</cp:revision>
  <cp:lastPrinted>2016-11-29T11:06:00Z</cp:lastPrinted>
  <dcterms:created xsi:type="dcterms:W3CDTF">2016-10-18T06:52:00Z</dcterms:created>
  <dcterms:modified xsi:type="dcterms:W3CDTF">2018-07-11T03:21:00Z</dcterms:modified>
</cp:coreProperties>
</file>